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07B7" w14:textId="4D3E021A" w:rsidR="00EC7A99" w:rsidRDefault="00815D37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</w:t>
      </w:r>
      <w:bookmarkStart w:id="0" w:name="_GoBack"/>
      <w:bookmarkEnd w:id="0"/>
      <w:r w:rsidRPr="00C8624C">
        <w:rPr>
          <w:rFonts w:ascii="Calibri" w:eastAsia="Calibri" w:hAnsi="Calibri" w:cs="Times New Roman"/>
          <w:b/>
          <w:bCs/>
          <w:sz w:val="36"/>
          <w:szCs w:val="36"/>
        </w:rPr>
        <w:t>UNICATO STAMPA</w:t>
      </w:r>
    </w:p>
    <w:p w14:paraId="2EA306D3" w14:textId="28F82211" w:rsidR="009718FD" w:rsidRPr="00EC5735" w:rsidRDefault="00F75472" w:rsidP="00EC5735">
      <w:pPr>
        <w:jc w:val="center"/>
        <w:rPr>
          <w:b/>
          <w:bCs/>
          <w:sz w:val="36"/>
          <w:szCs w:val="36"/>
        </w:rPr>
      </w:pPr>
      <w:bookmarkStart w:id="1" w:name="_Hlk156912660"/>
      <w:r w:rsidRPr="00F75472">
        <w:rPr>
          <w:b/>
          <w:bCs/>
          <w:sz w:val="36"/>
          <w:szCs w:val="36"/>
        </w:rPr>
        <w:t>PNRR MISSIONE SALUTE</w:t>
      </w:r>
      <w:r w:rsidR="00597D55">
        <w:rPr>
          <w:b/>
          <w:bCs/>
          <w:sz w:val="36"/>
          <w:szCs w:val="36"/>
        </w:rPr>
        <w:t xml:space="preserve">: </w:t>
      </w:r>
      <w:r w:rsidR="00E366DA" w:rsidRPr="00F75472">
        <w:rPr>
          <w:b/>
          <w:bCs/>
          <w:sz w:val="36"/>
          <w:szCs w:val="36"/>
        </w:rPr>
        <w:t xml:space="preserve">AL </w:t>
      </w:r>
      <w:r w:rsidR="00E11BDB">
        <w:rPr>
          <w:b/>
          <w:bCs/>
          <w:sz w:val="36"/>
          <w:szCs w:val="36"/>
        </w:rPr>
        <w:t>2</w:t>
      </w:r>
      <w:r w:rsidR="00E366DA" w:rsidRPr="00F75472">
        <w:rPr>
          <w:b/>
          <w:bCs/>
          <w:sz w:val="36"/>
          <w:szCs w:val="36"/>
        </w:rPr>
        <w:t>° TRIMESTRE 202</w:t>
      </w:r>
      <w:r w:rsidR="00F137A4">
        <w:rPr>
          <w:b/>
          <w:bCs/>
          <w:sz w:val="36"/>
          <w:szCs w:val="36"/>
        </w:rPr>
        <w:t>5</w:t>
      </w:r>
      <w:r w:rsidR="00E366DA">
        <w:rPr>
          <w:b/>
          <w:bCs/>
          <w:sz w:val="36"/>
          <w:szCs w:val="36"/>
        </w:rPr>
        <w:t xml:space="preserve"> </w:t>
      </w:r>
      <w:r w:rsidR="00597D55" w:rsidRPr="00B30006">
        <w:rPr>
          <w:b/>
          <w:bCs/>
          <w:sz w:val="36"/>
          <w:szCs w:val="36"/>
        </w:rPr>
        <w:t>RISPETTAT</w:t>
      </w:r>
      <w:r w:rsidR="00E11BDB" w:rsidRPr="00B30006">
        <w:rPr>
          <w:b/>
          <w:bCs/>
          <w:sz w:val="36"/>
          <w:szCs w:val="36"/>
        </w:rPr>
        <w:t>E TUTTE LE SCADENZE</w:t>
      </w:r>
      <w:r w:rsidR="009718FD">
        <w:rPr>
          <w:b/>
          <w:bCs/>
          <w:sz w:val="36"/>
          <w:szCs w:val="36"/>
        </w:rPr>
        <w:t xml:space="preserve"> FORMALI</w:t>
      </w:r>
      <w:r w:rsidR="00CA2014">
        <w:rPr>
          <w:b/>
          <w:bCs/>
          <w:sz w:val="36"/>
          <w:szCs w:val="36"/>
        </w:rPr>
        <w:t>.</w:t>
      </w:r>
      <w:r w:rsidR="00CA2014">
        <w:rPr>
          <w:b/>
          <w:bCs/>
          <w:sz w:val="36"/>
          <w:szCs w:val="36"/>
        </w:rPr>
        <w:br/>
      </w:r>
      <w:r w:rsidR="009718FD">
        <w:rPr>
          <w:b/>
          <w:bCs/>
          <w:sz w:val="36"/>
          <w:szCs w:val="36"/>
        </w:rPr>
        <w:t xml:space="preserve">MA </w:t>
      </w:r>
      <w:r w:rsidR="008C0263">
        <w:rPr>
          <w:b/>
          <w:bCs/>
          <w:sz w:val="36"/>
          <w:szCs w:val="36"/>
        </w:rPr>
        <w:t>A</w:t>
      </w:r>
      <w:r w:rsidR="00E11BDB">
        <w:rPr>
          <w:b/>
          <w:bCs/>
          <w:sz w:val="36"/>
          <w:szCs w:val="36"/>
        </w:rPr>
        <w:t xml:space="preserve"> UN ANNO DAL</w:t>
      </w:r>
      <w:r w:rsidR="00CA2014">
        <w:rPr>
          <w:b/>
          <w:bCs/>
          <w:sz w:val="36"/>
          <w:szCs w:val="36"/>
        </w:rPr>
        <w:t xml:space="preserve"> TRAGUARDO </w:t>
      </w:r>
      <w:r w:rsidR="009D1095">
        <w:rPr>
          <w:b/>
          <w:bCs/>
          <w:sz w:val="36"/>
          <w:szCs w:val="36"/>
        </w:rPr>
        <w:t>FINALE</w:t>
      </w:r>
      <w:r w:rsidR="00697933">
        <w:rPr>
          <w:b/>
          <w:bCs/>
          <w:sz w:val="36"/>
          <w:szCs w:val="36"/>
        </w:rPr>
        <w:t>,</w:t>
      </w:r>
      <w:r w:rsidR="009D1095">
        <w:rPr>
          <w:b/>
          <w:bCs/>
          <w:sz w:val="36"/>
          <w:szCs w:val="36"/>
        </w:rPr>
        <w:t xml:space="preserve"> </w:t>
      </w:r>
      <w:r w:rsidR="00145826">
        <w:rPr>
          <w:b/>
          <w:bCs/>
          <w:sz w:val="36"/>
          <w:szCs w:val="36"/>
        </w:rPr>
        <w:t>ALMEN</w:t>
      </w:r>
      <w:r w:rsidR="00145826" w:rsidRPr="00481DC1">
        <w:rPr>
          <w:b/>
          <w:bCs/>
          <w:sz w:val="36"/>
          <w:szCs w:val="36"/>
        </w:rPr>
        <w:t xml:space="preserve">O </w:t>
      </w:r>
      <w:r w:rsidR="00F74A63" w:rsidRPr="00481DC1">
        <w:rPr>
          <w:b/>
          <w:bCs/>
          <w:sz w:val="36"/>
          <w:szCs w:val="36"/>
        </w:rPr>
        <w:t xml:space="preserve">5 </w:t>
      </w:r>
      <w:r w:rsidR="00145826" w:rsidRPr="00481DC1">
        <w:rPr>
          <w:b/>
          <w:bCs/>
          <w:sz w:val="36"/>
          <w:szCs w:val="36"/>
        </w:rPr>
        <w:t>TARGET</w:t>
      </w:r>
      <w:r w:rsidR="00E3193A" w:rsidRPr="00481DC1">
        <w:rPr>
          <w:b/>
          <w:bCs/>
          <w:sz w:val="36"/>
          <w:szCs w:val="36"/>
        </w:rPr>
        <w:t xml:space="preserve"> </w:t>
      </w:r>
      <w:r w:rsidR="00E3193A">
        <w:rPr>
          <w:b/>
          <w:bCs/>
          <w:sz w:val="36"/>
          <w:szCs w:val="36"/>
        </w:rPr>
        <w:t>SU 14</w:t>
      </w:r>
      <w:r w:rsidR="00145826">
        <w:rPr>
          <w:b/>
          <w:bCs/>
          <w:sz w:val="36"/>
          <w:szCs w:val="36"/>
        </w:rPr>
        <w:t xml:space="preserve"> </w:t>
      </w:r>
      <w:r w:rsidR="00666A88">
        <w:rPr>
          <w:b/>
          <w:bCs/>
          <w:sz w:val="36"/>
          <w:szCs w:val="36"/>
        </w:rPr>
        <w:t xml:space="preserve">SONO IN RITARDO </w:t>
      </w:r>
      <w:r w:rsidR="00145826">
        <w:rPr>
          <w:b/>
          <w:bCs/>
          <w:sz w:val="36"/>
          <w:szCs w:val="36"/>
        </w:rPr>
        <w:t xml:space="preserve">E </w:t>
      </w:r>
      <w:r w:rsidR="00697933">
        <w:rPr>
          <w:b/>
          <w:bCs/>
          <w:sz w:val="36"/>
          <w:szCs w:val="36"/>
        </w:rPr>
        <w:t xml:space="preserve">L’82% DELLE RISORSE </w:t>
      </w:r>
      <w:r w:rsidR="009D1095">
        <w:rPr>
          <w:b/>
          <w:bCs/>
          <w:sz w:val="36"/>
          <w:szCs w:val="36"/>
        </w:rPr>
        <w:t xml:space="preserve">NON </w:t>
      </w:r>
      <w:r w:rsidR="00697933">
        <w:rPr>
          <w:b/>
          <w:bCs/>
          <w:sz w:val="36"/>
          <w:szCs w:val="36"/>
        </w:rPr>
        <w:t xml:space="preserve">RISULTA ANCORA </w:t>
      </w:r>
      <w:r w:rsidR="00EC5735">
        <w:rPr>
          <w:b/>
          <w:bCs/>
          <w:sz w:val="36"/>
          <w:szCs w:val="36"/>
        </w:rPr>
        <w:t>SPESO</w:t>
      </w:r>
      <w:r w:rsidR="00145826">
        <w:rPr>
          <w:b/>
          <w:bCs/>
          <w:sz w:val="36"/>
          <w:szCs w:val="36"/>
        </w:rPr>
        <w:t>.</w:t>
      </w:r>
      <w:r w:rsidR="00B30006">
        <w:rPr>
          <w:b/>
          <w:bCs/>
          <w:sz w:val="36"/>
          <w:szCs w:val="36"/>
        </w:rPr>
        <w:br/>
      </w:r>
      <w:r w:rsidR="00B30006" w:rsidRPr="00EC5735">
        <w:rPr>
          <w:b/>
          <w:bCs/>
          <w:sz w:val="36"/>
          <w:szCs w:val="36"/>
        </w:rPr>
        <w:t xml:space="preserve">IL </w:t>
      </w:r>
      <w:r w:rsidR="00EC5735" w:rsidRPr="00EC5735">
        <w:rPr>
          <w:b/>
          <w:bCs/>
          <w:sz w:val="36"/>
          <w:szCs w:val="36"/>
        </w:rPr>
        <w:t xml:space="preserve">PAESE </w:t>
      </w:r>
      <w:r w:rsidR="00B30006" w:rsidRPr="00EC5735">
        <w:rPr>
          <w:b/>
          <w:bCs/>
          <w:sz w:val="36"/>
          <w:szCs w:val="36"/>
        </w:rPr>
        <w:t>INCASSA LE RATE</w:t>
      </w:r>
      <w:r w:rsidR="00EC5735" w:rsidRPr="00EC5735">
        <w:rPr>
          <w:b/>
          <w:bCs/>
          <w:sz w:val="36"/>
          <w:szCs w:val="36"/>
        </w:rPr>
        <w:t>,</w:t>
      </w:r>
      <w:r w:rsidR="00B30006" w:rsidRPr="00EC5735">
        <w:rPr>
          <w:b/>
          <w:bCs/>
          <w:sz w:val="36"/>
          <w:szCs w:val="36"/>
        </w:rPr>
        <w:t xml:space="preserve"> MA </w:t>
      </w:r>
      <w:r w:rsidR="00EC5735" w:rsidRPr="00EC5735">
        <w:rPr>
          <w:b/>
          <w:bCs/>
          <w:sz w:val="36"/>
          <w:szCs w:val="36"/>
        </w:rPr>
        <w:t xml:space="preserve">PER </w:t>
      </w:r>
      <w:r w:rsidR="00A02114">
        <w:rPr>
          <w:b/>
          <w:bCs/>
          <w:sz w:val="36"/>
          <w:szCs w:val="36"/>
        </w:rPr>
        <w:t xml:space="preserve">GARANTIRE </w:t>
      </w:r>
      <w:r w:rsidR="00EC5735" w:rsidRPr="00EC5735">
        <w:rPr>
          <w:b/>
          <w:bCs/>
          <w:sz w:val="36"/>
          <w:szCs w:val="36"/>
        </w:rPr>
        <w:t xml:space="preserve">BENEFICI </w:t>
      </w:r>
      <w:r w:rsidR="00A02114">
        <w:rPr>
          <w:b/>
          <w:bCs/>
          <w:sz w:val="36"/>
          <w:szCs w:val="36"/>
        </w:rPr>
        <w:t xml:space="preserve">AI </w:t>
      </w:r>
      <w:r w:rsidR="00E3193A">
        <w:rPr>
          <w:b/>
          <w:bCs/>
          <w:sz w:val="36"/>
          <w:szCs w:val="36"/>
        </w:rPr>
        <w:t>CITTADINI</w:t>
      </w:r>
      <w:r w:rsidR="00E3193A" w:rsidRPr="00EC5735">
        <w:rPr>
          <w:b/>
          <w:bCs/>
          <w:sz w:val="36"/>
          <w:szCs w:val="36"/>
        </w:rPr>
        <w:t xml:space="preserve"> </w:t>
      </w:r>
      <w:r w:rsidR="008079EA">
        <w:rPr>
          <w:b/>
          <w:bCs/>
          <w:sz w:val="36"/>
          <w:szCs w:val="36"/>
        </w:rPr>
        <w:t>SERVE UNA</w:t>
      </w:r>
      <w:r w:rsidR="00E02658">
        <w:rPr>
          <w:b/>
          <w:bCs/>
          <w:sz w:val="36"/>
          <w:szCs w:val="36"/>
        </w:rPr>
        <w:t xml:space="preserve"> </w:t>
      </w:r>
      <w:r w:rsidR="009718FD" w:rsidRPr="00EC5735">
        <w:rPr>
          <w:b/>
          <w:bCs/>
          <w:sz w:val="36"/>
          <w:szCs w:val="36"/>
        </w:rPr>
        <w:t>CORSA CONTRO IL TEMPO</w:t>
      </w:r>
    </w:p>
    <w:bookmarkEnd w:id="1"/>
    <w:p w14:paraId="4D38DF05" w14:textId="58BF5E54" w:rsidR="00815D37" w:rsidRDefault="00E11BDB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29</w:t>
      </w:r>
      <w:r w:rsidR="00F137A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luglio </w:t>
      </w:r>
      <w:r w:rsidR="00EA6FC9">
        <w:rPr>
          <w:rFonts w:ascii="Calibri" w:eastAsia="Calibri" w:hAnsi="Calibri" w:cs="Times New Roman"/>
          <w:b/>
          <w:bCs/>
          <w:sz w:val="24"/>
          <w:szCs w:val="24"/>
        </w:rPr>
        <w:t>2025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2B2105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404224D0" w14:textId="5A6CC931" w:rsidR="009F14B4" w:rsidRDefault="00897B0F" w:rsidP="00535518">
      <w:pPr>
        <w:jc w:val="both"/>
        <w:rPr>
          <w:rFonts w:cstheme="minorHAnsi"/>
        </w:rPr>
      </w:pPr>
      <w:r w:rsidRPr="00897B0F">
        <w:rPr>
          <w:rFonts w:cstheme="minorHAnsi"/>
        </w:rPr>
        <w:t>«Al 3</w:t>
      </w:r>
      <w:r w:rsidR="00E11BDB">
        <w:rPr>
          <w:rFonts w:cstheme="minorHAnsi"/>
        </w:rPr>
        <w:t>0</w:t>
      </w:r>
      <w:r w:rsidRPr="00897B0F">
        <w:rPr>
          <w:rFonts w:cstheme="minorHAnsi"/>
        </w:rPr>
        <w:t xml:space="preserve"> </w:t>
      </w:r>
      <w:r w:rsidR="00E11BDB">
        <w:rPr>
          <w:rFonts w:cstheme="minorHAnsi"/>
        </w:rPr>
        <w:t>giugno</w:t>
      </w:r>
      <w:r w:rsidRPr="00897B0F">
        <w:rPr>
          <w:rFonts w:cstheme="minorHAnsi"/>
        </w:rPr>
        <w:t xml:space="preserve"> 202</w:t>
      </w:r>
      <w:r w:rsidR="007A1BDA">
        <w:rPr>
          <w:rFonts w:cstheme="minorHAnsi"/>
        </w:rPr>
        <w:t>5</w:t>
      </w:r>
      <w:r w:rsidRPr="00897B0F">
        <w:rPr>
          <w:rFonts w:cstheme="minorHAnsi"/>
        </w:rPr>
        <w:t xml:space="preserve"> – dichiara Nino Cartabellotta, Presidente della Fondazione GIMBE – </w:t>
      </w:r>
      <w:r w:rsidR="00CD332E">
        <w:rPr>
          <w:rFonts w:cstheme="minorHAnsi"/>
        </w:rPr>
        <w:t xml:space="preserve">per la </w:t>
      </w:r>
      <w:r w:rsidR="00CD332E" w:rsidRPr="00897B0F">
        <w:rPr>
          <w:rFonts w:cstheme="minorHAnsi"/>
        </w:rPr>
        <w:t>Missione Salute del PNRR</w:t>
      </w:r>
      <w:r w:rsidR="00CD332E">
        <w:rPr>
          <w:rFonts w:cstheme="minorHAnsi"/>
        </w:rPr>
        <w:t xml:space="preserve"> </w:t>
      </w:r>
      <w:r w:rsidR="00BA7D9E">
        <w:rPr>
          <w:rFonts w:cstheme="minorHAnsi"/>
        </w:rPr>
        <w:t>sono state raggiunte le quattro scadenze previste entro la fine del 2° trimestre di cui due europee</w:t>
      </w:r>
      <w:r w:rsidR="00CD332E">
        <w:rPr>
          <w:rFonts w:cstheme="minorHAnsi"/>
        </w:rPr>
        <w:t xml:space="preserve">. Tuttavia, </w:t>
      </w:r>
      <w:r w:rsidR="004A3BDC">
        <w:rPr>
          <w:rFonts w:cstheme="minorHAnsi"/>
        </w:rPr>
        <w:t xml:space="preserve">a un anno dalla rendicontazione finale, </w:t>
      </w:r>
      <w:r w:rsidR="00CD332E">
        <w:rPr>
          <w:rFonts w:cstheme="minorHAnsi"/>
        </w:rPr>
        <w:t xml:space="preserve">al di là del rispetto </w:t>
      </w:r>
      <w:r w:rsidR="009F14B4">
        <w:rPr>
          <w:rFonts w:cstheme="minorHAnsi"/>
        </w:rPr>
        <w:t xml:space="preserve">formale </w:t>
      </w:r>
      <w:r w:rsidR="00CD332E">
        <w:rPr>
          <w:rFonts w:cstheme="minorHAnsi"/>
        </w:rPr>
        <w:t xml:space="preserve">delle scadenze </w:t>
      </w:r>
      <w:r w:rsidR="00E11BDB">
        <w:rPr>
          <w:rFonts w:cstheme="minorHAnsi"/>
        </w:rPr>
        <w:t xml:space="preserve">e </w:t>
      </w:r>
      <w:r w:rsidR="009F14B4">
        <w:rPr>
          <w:rFonts w:cstheme="minorHAnsi"/>
        </w:rPr>
        <w:t>de</w:t>
      </w:r>
      <w:r w:rsidR="00E3193A">
        <w:rPr>
          <w:rFonts w:cstheme="minorHAnsi"/>
        </w:rPr>
        <w:t>ll’incasso</w:t>
      </w:r>
      <w:r w:rsidR="009F14B4">
        <w:rPr>
          <w:rFonts w:cstheme="minorHAnsi"/>
        </w:rPr>
        <w:t xml:space="preserve"> </w:t>
      </w:r>
      <w:r w:rsidR="00E11BDB">
        <w:rPr>
          <w:rFonts w:cstheme="minorHAnsi"/>
        </w:rPr>
        <w:t>delle rate</w:t>
      </w:r>
      <w:r w:rsidR="00CD332E">
        <w:rPr>
          <w:rFonts w:cstheme="minorHAnsi"/>
        </w:rPr>
        <w:t xml:space="preserve">, </w:t>
      </w:r>
      <w:r w:rsidR="009F14B4">
        <w:rPr>
          <w:rFonts w:cstheme="minorHAnsi"/>
        </w:rPr>
        <w:t xml:space="preserve">la spesa effettiva delle </w:t>
      </w:r>
      <w:r w:rsidR="00E11BDB">
        <w:rPr>
          <w:rFonts w:cstheme="minorHAnsi"/>
        </w:rPr>
        <w:t xml:space="preserve">risorse e </w:t>
      </w:r>
      <w:r w:rsidR="009F14B4">
        <w:rPr>
          <w:rFonts w:cstheme="minorHAnsi"/>
        </w:rPr>
        <w:t>l’avanzamento reale degli</w:t>
      </w:r>
      <w:r w:rsidR="00E11BDB">
        <w:rPr>
          <w:rFonts w:cstheme="minorHAnsi"/>
        </w:rPr>
        <w:t xml:space="preserve"> obiettivi </w:t>
      </w:r>
      <w:r w:rsidR="007F03B2">
        <w:rPr>
          <w:rFonts w:cstheme="minorHAnsi"/>
        </w:rPr>
        <w:t xml:space="preserve">procedono </w:t>
      </w:r>
      <w:r w:rsidR="009F14B4">
        <w:rPr>
          <w:rFonts w:cstheme="minorHAnsi"/>
        </w:rPr>
        <w:t>con estrema lentezza</w:t>
      </w:r>
      <w:r w:rsidR="00016522">
        <w:rPr>
          <w:rFonts w:cstheme="minorHAnsi"/>
        </w:rPr>
        <w:t xml:space="preserve"> e</w:t>
      </w:r>
      <w:r w:rsidR="00A47ED5">
        <w:rPr>
          <w:rFonts w:cstheme="minorHAnsi"/>
        </w:rPr>
        <w:t xml:space="preserve"> </w:t>
      </w:r>
      <w:r w:rsidR="00016522">
        <w:rPr>
          <w:rFonts w:cstheme="minorHAnsi"/>
        </w:rPr>
        <w:t>con inaccettabili</w:t>
      </w:r>
      <w:r w:rsidR="00E11BDB">
        <w:rPr>
          <w:rFonts w:cstheme="minorHAnsi"/>
        </w:rPr>
        <w:t xml:space="preserve"> </w:t>
      </w:r>
      <w:r w:rsidR="00A47ED5">
        <w:rPr>
          <w:rFonts w:cstheme="minorHAnsi"/>
        </w:rPr>
        <w:t>diseguaglianze tra</w:t>
      </w:r>
      <w:r w:rsidR="00CF7404">
        <w:rPr>
          <w:rFonts w:cstheme="minorHAnsi"/>
        </w:rPr>
        <w:t xml:space="preserve"> le</w:t>
      </w:r>
      <w:r w:rsidR="00A47ED5">
        <w:rPr>
          <w:rFonts w:cstheme="minorHAnsi"/>
        </w:rPr>
        <w:t xml:space="preserve"> Regioni</w:t>
      </w:r>
      <w:r w:rsidR="00E0736A">
        <w:rPr>
          <w:rFonts w:cstheme="minorHAnsi"/>
        </w:rPr>
        <w:t>. In particolare, de</w:t>
      </w:r>
      <w:r w:rsidR="00113A2A">
        <w:rPr>
          <w:rFonts w:cstheme="minorHAnsi"/>
        </w:rPr>
        <w:t xml:space="preserve">lle </w:t>
      </w:r>
      <w:r w:rsidR="00E0736A">
        <w:rPr>
          <w:rFonts w:cstheme="minorHAnsi"/>
        </w:rPr>
        <w:t xml:space="preserve">14 </w:t>
      </w:r>
      <w:r w:rsidR="00113A2A">
        <w:rPr>
          <w:rFonts w:cstheme="minorHAnsi"/>
        </w:rPr>
        <w:t xml:space="preserve">misure </w:t>
      </w:r>
      <w:r w:rsidR="00E0736A">
        <w:rPr>
          <w:rFonts w:cstheme="minorHAnsi"/>
        </w:rPr>
        <w:t>da completare entro giugno 2026</w:t>
      </w:r>
      <w:r w:rsidR="009F14B4">
        <w:rPr>
          <w:rFonts w:cstheme="minorHAnsi"/>
        </w:rPr>
        <w:t>,</w:t>
      </w:r>
      <w:r w:rsidR="00E0736A">
        <w:rPr>
          <w:rFonts w:cstheme="minorHAnsi"/>
        </w:rPr>
        <w:t xml:space="preserve"> almeno </w:t>
      </w:r>
      <w:r w:rsidR="00F74A63">
        <w:rPr>
          <w:rFonts w:cstheme="minorHAnsi"/>
        </w:rPr>
        <w:t xml:space="preserve">5 </w:t>
      </w:r>
      <w:r w:rsidR="009F14B4">
        <w:rPr>
          <w:rFonts w:cstheme="minorHAnsi"/>
        </w:rPr>
        <w:t>presentano</w:t>
      </w:r>
      <w:r w:rsidR="00E0736A">
        <w:rPr>
          <w:rFonts w:cstheme="minorHAnsi"/>
        </w:rPr>
        <w:t xml:space="preserve"> criticità di attuazione</w:t>
      </w:r>
      <w:r w:rsidR="009F14B4">
        <w:rPr>
          <w:rFonts w:cstheme="minorHAnsi"/>
        </w:rPr>
        <w:t xml:space="preserve">, mentre per </w:t>
      </w:r>
      <w:r w:rsidR="00F74A63">
        <w:rPr>
          <w:rFonts w:cstheme="minorHAnsi"/>
        </w:rPr>
        <w:t xml:space="preserve">5 </w:t>
      </w:r>
      <w:r w:rsidR="00D5564A">
        <w:rPr>
          <w:rFonts w:cstheme="minorHAnsi"/>
        </w:rPr>
        <w:t>le</w:t>
      </w:r>
      <w:r w:rsidR="009F14B4">
        <w:rPr>
          <w:rFonts w:cstheme="minorHAnsi"/>
        </w:rPr>
        <w:t xml:space="preserve"> </w:t>
      </w:r>
      <w:r w:rsidR="00E0736A">
        <w:rPr>
          <w:rFonts w:cstheme="minorHAnsi"/>
        </w:rPr>
        <w:t xml:space="preserve">informazioni </w:t>
      </w:r>
      <w:r w:rsidR="00D5564A">
        <w:rPr>
          <w:rFonts w:cstheme="minorHAnsi"/>
        </w:rPr>
        <w:t xml:space="preserve">pubblicamente disponibili non sono </w:t>
      </w:r>
      <w:r w:rsidR="00E0736A">
        <w:rPr>
          <w:rFonts w:cstheme="minorHAnsi"/>
        </w:rPr>
        <w:t xml:space="preserve">sufficienti per valutarne lo </w:t>
      </w:r>
      <w:r w:rsidR="009F14B4">
        <w:rPr>
          <w:rFonts w:cstheme="minorHAnsi"/>
        </w:rPr>
        <w:t xml:space="preserve">stato </w:t>
      </w:r>
      <w:r w:rsidR="00E0736A">
        <w:rPr>
          <w:rFonts w:cstheme="minorHAnsi"/>
        </w:rPr>
        <w:t>di avanzamento</w:t>
      </w:r>
      <w:r w:rsidR="00916C10">
        <w:rPr>
          <w:rFonts w:cstheme="minorHAnsi"/>
        </w:rPr>
        <w:t xml:space="preserve">. </w:t>
      </w:r>
      <w:r w:rsidR="00F74A63">
        <w:rPr>
          <w:rFonts w:cstheme="minorHAnsi"/>
        </w:rPr>
        <w:t xml:space="preserve">4 </w:t>
      </w:r>
      <w:r w:rsidR="009F14B4">
        <w:rPr>
          <w:rFonts w:cstheme="minorHAnsi"/>
        </w:rPr>
        <w:t>misure</w:t>
      </w:r>
      <w:r w:rsidR="00916C10">
        <w:rPr>
          <w:rFonts w:cstheme="minorHAnsi"/>
        </w:rPr>
        <w:t xml:space="preserve"> risultano quasi </w:t>
      </w:r>
      <w:r w:rsidR="009F14B4">
        <w:rPr>
          <w:rFonts w:cstheme="minorHAnsi"/>
        </w:rPr>
        <w:t>completate</w:t>
      </w:r>
      <w:r w:rsidR="00916C10">
        <w:rPr>
          <w:rFonts w:cstheme="minorHAnsi"/>
        </w:rPr>
        <w:t xml:space="preserve"> o </w:t>
      </w:r>
      <w:r w:rsidR="009F14B4">
        <w:rPr>
          <w:rFonts w:cstheme="minorHAnsi"/>
        </w:rPr>
        <w:t xml:space="preserve">già </w:t>
      </w:r>
      <w:r w:rsidR="00916C10">
        <w:rPr>
          <w:rFonts w:cstheme="minorHAnsi"/>
        </w:rPr>
        <w:t>raggiunte</w:t>
      </w:r>
      <w:r w:rsidRPr="00897B0F">
        <w:rPr>
          <w:rFonts w:cstheme="minorHAnsi"/>
        </w:rPr>
        <w:t>».</w:t>
      </w:r>
    </w:p>
    <w:p w14:paraId="22A33BFD" w14:textId="7769BAE0" w:rsidR="00E0736A" w:rsidRDefault="00607B1B" w:rsidP="00E0736A">
      <w:pPr>
        <w:jc w:val="both"/>
        <w:rPr>
          <w:rFonts w:cstheme="minorHAnsi"/>
        </w:rPr>
      </w:pPr>
      <w:r w:rsidRPr="00ED6E07">
        <w:rPr>
          <w:rFonts w:cstheme="minorHAnsi"/>
        </w:rPr>
        <w:t xml:space="preserve">Secondo </w:t>
      </w:r>
      <w:r>
        <w:rPr>
          <w:rFonts w:cstheme="minorHAnsi"/>
        </w:rPr>
        <w:t xml:space="preserve">i dati pubblicati sul </w:t>
      </w:r>
      <w:hyperlink r:id="rId8" w:history="1">
        <w:r w:rsidRPr="00961FD4">
          <w:rPr>
            <w:rStyle w:val="Collegamentoipertestuale"/>
            <w:rFonts w:cstheme="minorHAnsi"/>
          </w:rPr>
          <w:t>portale del Ministero della Salute</w:t>
        </w:r>
      </w:hyperlink>
      <w:r w:rsidR="00D5564A">
        <w:rPr>
          <w:rFonts w:cstheme="minorHAnsi"/>
        </w:rPr>
        <w:t xml:space="preserve">, </w:t>
      </w:r>
      <w:r w:rsidRPr="00ED6E07">
        <w:rPr>
          <w:rFonts w:cstheme="minorHAnsi"/>
        </w:rPr>
        <w:t xml:space="preserve">che monitora </w:t>
      </w:r>
      <w:r>
        <w:rPr>
          <w:rFonts w:cstheme="minorHAnsi"/>
        </w:rPr>
        <w:t>l’</w:t>
      </w:r>
      <w:r w:rsidRPr="00ED6E07">
        <w:rPr>
          <w:rFonts w:cstheme="minorHAnsi"/>
        </w:rPr>
        <w:t>attuazione della Missione Salute del PNRR</w:t>
      </w:r>
      <w:r w:rsidR="00E0736A">
        <w:rPr>
          <w:rFonts w:cstheme="minorHAnsi"/>
        </w:rPr>
        <w:t xml:space="preserve">, al 30 giugno 2025 </w:t>
      </w:r>
      <w:r w:rsidR="003E0C9B">
        <w:rPr>
          <w:rFonts w:cstheme="minorHAnsi"/>
        </w:rPr>
        <w:t xml:space="preserve">sono state raggiunte le due </w:t>
      </w:r>
      <w:r w:rsidR="00C172C4">
        <w:rPr>
          <w:rFonts w:cstheme="minorHAnsi"/>
        </w:rPr>
        <w:t>scadenze europee</w:t>
      </w:r>
      <w:r w:rsidR="003E0C9B">
        <w:rPr>
          <w:rFonts w:cstheme="minorHAnsi"/>
        </w:rPr>
        <w:t xml:space="preserve"> </w:t>
      </w:r>
      <w:r w:rsidR="00481DC1">
        <w:rPr>
          <w:rFonts w:cstheme="minorHAnsi"/>
        </w:rPr>
        <w:t xml:space="preserve">sul finanziamento di progetti di ricerca </w:t>
      </w:r>
      <w:r w:rsidR="00E0736A">
        <w:rPr>
          <w:rFonts w:cstheme="minorHAnsi"/>
        </w:rPr>
        <w:t xml:space="preserve">e tutte le precedenti. </w:t>
      </w:r>
      <w:r w:rsidR="00E0736A" w:rsidRPr="00897B0F">
        <w:rPr>
          <w:rFonts w:cstheme="minorHAnsi"/>
        </w:rPr>
        <w:t>«</w:t>
      </w:r>
      <w:r w:rsidR="00E0736A">
        <w:rPr>
          <w:rFonts w:cstheme="minorHAnsi"/>
        </w:rPr>
        <w:t xml:space="preserve">Tuttavia </w:t>
      </w:r>
      <w:r w:rsidR="00E0736A" w:rsidRPr="00897B0F">
        <w:rPr>
          <w:rFonts w:cstheme="minorHAnsi"/>
        </w:rPr>
        <w:t xml:space="preserve">– </w:t>
      </w:r>
      <w:r w:rsidR="00E0736A">
        <w:rPr>
          <w:rFonts w:cstheme="minorHAnsi"/>
        </w:rPr>
        <w:t xml:space="preserve">spiega il Presidente </w:t>
      </w:r>
      <w:r w:rsidR="00E0736A" w:rsidRPr="00897B0F">
        <w:rPr>
          <w:rFonts w:cstheme="minorHAnsi"/>
        </w:rPr>
        <w:t>–</w:t>
      </w:r>
      <w:r w:rsidR="00E0736A">
        <w:rPr>
          <w:rFonts w:cstheme="minorHAnsi"/>
        </w:rPr>
        <w:t xml:space="preserve"> </w:t>
      </w:r>
      <w:r w:rsidR="00C05173">
        <w:rPr>
          <w:rFonts w:cstheme="minorHAnsi"/>
        </w:rPr>
        <w:t xml:space="preserve">il </w:t>
      </w:r>
      <w:r w:rsidR="009F14B4">
        <w:rPr>
          <w:rFonts w:cstheme="minorHAnsi"/>
        </w:rPr>
        <w:t xml:space="preserve">rispetto </w:t>
      </w:r>
      <w:r w:rsidR="00C05173">
        <w:rPr>
          <w:rFonts w:cstheme="minorHAnsi"/>
        </w:rPr>
        <w:t>del</w:t>
      </w:r>
      <w:r w:rsidR="00E0736A">
        <w:rPr>
          <w:rFonts w:cstheme="minorHAnsi"/>
        </w:rPr>
        <w:t>le scadenze formali</w:t>
      </w:r>
      <w:r w:rsidR="009F14B4">
        <w:rPr>
          <w:rFonts w:cstheme="minorHAnsi"/>
        </w:rPr>
        <w:t xml:space="preserve">, necessario per </w:t>
      </w:r>
      <w:r w:rsidR="00016522">
        <w:rPr>
          <w:rFonts w:cstheme="minorHAnsi"/>
        </w:rPr>
        <w:t>il via libera all</w:t>
      </w:r>
      <w:r w:rsidR="009F14B4">
        <w:rPr>
          <w:rFonts w:cstheme="minorHAnsi"/>
        </w:rPr>
        <w:t xml:space="preserve">’erogazione </w:t>
      </w:r>
      <w:r w:rsidR="00E0736A">
        <w:rPr>
          <w:rFonts w:cstheme="minorHAnsi"/>
        </w:rPr>
        <w:t>delle rate</w:t>
      </w:r>
      <w:r w:rsidR="009F14B4">
        <w:rPr>
          <w:rFonts w:cstheme="minorHAnsi"/>
        </w:rPr>
        <w:t>,</w:t>
      </w:r>
      <w:r w:rsidR="00E0736A">
        <w:rPr>
          <w:rFonts w:cstheme="minorHAnsi"/>
        </w:rPr>
        <w:t xml:space="preserve"> non </w:t>
      </w:r>
      <w:r w:rsidR="009F14B4">
        <w:rPr>
          <w:rFonts w:cstheme="minorHAnsi"/>
        </w:rPr>
        <w:t xml:space="preserve">rappresenta </w:t>
      </w:r>
      <w:r w:rsidR="002B5256">
        <w:rPr>
          <w:rFonts w:cstheme="minorHAnsi"/>
        </w:rPr>
        <w:t xml:space="preserve">in questa fase finale </w:t>
      </w:r>
      <w:r w:rsidR="00E0736A">
        <w:rPr>
          <w:rFonts w:cstheme="minorHAnsi"/>
        </w:rPr>
        <w:t xml:space="preserve">un indicatore affidabile </w:t>
      </w:r>
      <w:r w:rsidR="00C719D2">
        <w:rPr>
          <w:rFonts w:cstheme="minorHAnsi"/>
        </w:rPr>
        <w:t>sul</w:t>
      </w:r>
      <w:r w:rsidR="009F14B4">
        <w:rPr>
          <w:rFonts w:cstheme="minorHAnsi"/>
        </w:rPr>
        <w:t xml:space="preserve"> reale</w:t>
      </w:r>
      <w:r w:rsidR="00E0736A">
        <w:rPr>
          <w:rFonts w:cstheme="minorHAnsi"/>
        </w:rPr>
        <w:t xml:space="preserve"> </w:t>
      </w:r>
      <w:r w:rsidR="002B5256">
        <w:rPr>
          <w:rFonts w:cstheme="minorHAnsi"/>
        </w:rPr>
        <w:t xml:space="preserve">stato </w:t>
      </w:r>
      <w:r w:rsidR="00E0736A">
        <w:rPr>
          <w:rFonts w:cstheme="minorHAnsi"/>
        </w:rPr>
        <w:t>di avanzamento d</w:t>
      </w:r>
      <w:r w:rsidR="00C719D2">
        <w:rPr>
          <w:rFonts w:cstheme="minorHAnsi"/>
        </w:rPr>
        <w:t>ei progetti</w:t>
      </w:r>
      <w:r w:rsidR="00E0736A" w:rsidRPr="00897B0F">
        <w:rPr>
          <w:rFonts w:cstheme="minorHAnsi"/>
        </w:rPr>
        <w:t>».</w:t>
      </w:r>
    </w:p>
    <w:p w14:paraId="2B9AD23B" w14:textId="05E5095F" w:rsidR="00BF4EE7" w:rsidRDefault="009F14B4" w:rsidP="00E0736A">
      <w:pPr>
        <w:jc w:val="both"/>
        <w:rPr>
          <w:rFonts w:cstheme="minorHAnsi"/>
        </w:rPr>
      </w:pPr>
      <w:r>
        <w:rPr>
          <w:rFonts w:cstheme="minorHAnsi"/>
        </w:rPr>
        <w:t xml:space="preserve">Per </w:t>
      </w:r>
      <w:r w:rsidR="002B5256">
        <w:rPr>
          <w:rFonts w:cstheme="minorHAnsi"/>
        </w:rPr>
        <w:t>tale ragione</w:t>
      </w:r>
      <w:r w:rsidR="00184871">
        <w:rPr>
          <w:rFonts w:cstheme="minorHAnsi"/>
        </w:rPr>
        <w:t xml:space="preserve">, </w:t>
      </w:r>
      <w:r w:rsidR="002B5256">
        <w:rPr>
          <w:rFonts w:cstheme="minorHAnsi"/>
        </w:rPr>
        <w:t xml:space="preserve">a un anno dalla scadenza, </w:t>
      </w:r>
      <w:r w:rsidR="00184871">
        <w:rPr>
          <w:rFonts w:cstheme="minorHAnsi"/>
        </w:rPr>
        <w:t>il</w:t>
      </w:r>
      <w:r w:rsidR="00184871" w:rsidRPr="00897B0F">
        <w:rPr>
          <w:rFonts w:cstheme="minorHAnsi"/>
        </w:rPr>
        <w:t xml:space="preserve"> monitoraggio indipendente</w:t>
      </w:r>
      <w:r w:rsidR="00184871">
        <w:rPr>
          <w:rFonts w:cstheme="minorHAnsi"/>
        </w:rPr>
        <w:t xml:space="preserve"> </w:t>
      </w:r>
      <w:r w:rsidR="002B5256">
        <w:rPr>
          <w:rFonts w:cstheme="minorHAnsi"/>
        </w:rPr>
        <w:t xml:space="preserve">dell’Osservatorio GIMBE </w:t>
      </w:r>
      <w:r w:rsidR="00184871" w:rsidRPr="00CF7404">
        <w:rPr>
          <w:rFonts w:cstheme="minorHAnsi"/>
        </w:rPr>
        <w:t>sull’attuazione della Missione Salute</w:t>
      </w:r>
      <w:r w:rsidR="00184871">
        <w:rPr>
          <w:rFonts w:cstheme="minorHAnsi"/>
        </w:rPr>
        <w:t xml:space="preserve"> </w:t>
      </w:r>
      <w:r w:rsidR="00E3193A">
        <w:rPr>
          <w:rFonts w:cstheme="minorHAnsi"/>
        </w:rPr>
        <w:t xml:space="preserve">del PNRR </w:t>
      </w:r>
      <w:r>
        <w:rPr>
          <w:rFonts w:cstheme="minorHAnsi"/>
        </w:rPr>
        <w:t>si è focalizzato</w:t>
      </w:r>
      <w:r w:rsidR="00184871">
        <w:rPr>
          <w:rFonts w:cstheme="minorHAnsi"/>
        </w:rPr>
        <w:t xml:space="preserve"> sul reale status di avanzamento dei 14 </w:t>
      </w:r>
      <w:r w:rsidR="000746D6">
        <w:rPr>
          <w:rFonts w:cstheme="minorHAnsi"/>
        </w:rPr>
        <w:t>obiettivi</w:t>
      </w:r>
      <w:r w:rsidR="00C172C4">
        <w:rPr>
          <w:rFonts w:cstheme="minorHAnsi"/>
        </w:rPr>
        <w:t xml:space="preserve"> europei</w:t>
      </w:r>
      <w:r w:rsidR="000746D6">
        <w:rPr>
          <w:rFonts w:cstheme="minorHAnsi"/>
        </w:rPr>
        <w:t xml:space="preserve"> </w:t>
      </w:r>
      <w:r>
        <w:rPr>
          <w:rFonts w:cstheme="minorHAnsi"/>
        </w:rPr>
        <w:t xml:space="preserve">ancora </w:t>
      </w:r>
      <w:r w:rsidR="00184871">
        <w:rPr>
          <w:rFonts w:cstheme="minorHAnsi"/>
        </w:rPr>
        <w:t xml:space="preserve">da raggiungere: </w:t>
      </w:r>
      <w:r w:rsidR="00C172C4">
        <w:rPr>
          <w:rFonts w:cstheme="minorHAnsi"/>
        </w:rPr>
        <w:t xml:space="preserve">3 </w:t>
      </w:r>
      <w:r w:rsidR="00184871">
        <w:rPr>
          <w:rFonts w:cstheme="minorHAnsi"/>
        </w:rPr>
        <w:t xml:space="preserve">entro dicembre 2025 e </w:t>
      </w:r>
      <w:r w:rsidR="00C172C4">
        <w:rPr>
          <w:rFonts w:cstheme="minorHAnsi"/>
        </w:rPr>
        <w:t xml:space="preserve">11 </w:t>
      </w:r>
      <w:r w:rsidR="00184871">
        <w:rPr>
          <w:rFonts w:cstheme="minorHAnsi"/>
        </w:rPr>
        <w:t xml:space="preserve">entro giugno 2026. </w:t>
      </w:r>
      <w:r w:rsidR="00986031" w:rsidRPr="00897B0F">
        <w:rPr>
          <w:rFonts w:cstheme="minorHAnsi"/>
        </w:rPr>
        <w:t>«</w:t>
      </w:r>
      <w:r>
        <w:rPr>
          <w:rFonts w:cstheme="minorHAnsi"/>
        </w:rPr>
        <w:t>R</w:t>
      </w:r>
      <w:r w:rsidR="00986031">
        <w:rPr>
          <w:rFonts w:cstheme="minorHAnsi"/>
        </w:rPr>
        <w:t xml:space="preserve">iteniamo fondamentale </w:t>
      </w:r>
      <w:r w:rsidR="00986031" w:rsidRPr="00897B0F">
        <w:rPr>
          <w:rFonts w:cstheme="minorHAnsi"/>
        </w:rPr>
        <w:t xml:space="preserve">– </w:t>
      </w:r>
      <w:r w:rsidR="00986031">
        <w:rPr>
          <w:rFonts w:cstheme="minorHAnsi"/>
        </w:rPr>
        <w:t xml:space="preserve">commenta Cartabellotta </w:t>
      </w:r>
      <w:r w:rsidR="00986031" w:rsidRPr="00897B0F">
        <w:rPr>
          <w:rFonts w:cstheme="minorHAnsi"/>
        </w:rPr>
        <w:t>–</w:t>
      </w:r>
      <w:r w:rsidR="00C719D2">
        <w:rPr>
          <w:rFonts w:cstheme="minorHAnsi"/>
        </w:rPr>
        <w:t xml:space="preserve"> </w:t>
      </w:r>
      <w:r w:rsidR="00D5564A">
        <w:rPr>
          <w:rFonts w:cstheme="minorHAnsi"/>
        </w:rPr>
        <w:t xml:space="preserve">offrire </w:t>
      </w:r>
      <w:r w:rsidR="00016522">
        <w:rPr>
          <w:rFonts w:cstheme="minorHAnsi"/>
        </w:rPr>
        <w:t>ai c</w:t>
      </w:r>
      <w:r w:rsidR="00986031">
        <w:rPr>
          <w:rFonts w:cstheme="minorHAnsi"/>
        </w:rPr>
        <w:t xml:space="preserve">ittadini un quadro </w:t>
      </w:r>
      <w:r>
        <w:rPr>
          <w:rFonts w:cstheme="minorHAnsi"/>
        </w:rPr>
        <w:t>chiaro</w:t>
      </w:r>
      <w:r w:rsidR="00BF4EE7">
        <w:rPr>
          <w:rFonts w:cstheme="minorHAnsi"/>
        </w:rPr>
        <w:t xml:space="preserve"> </w:t>
      </w:r>
      <w:r>
        <w:rPr>
          <w:rFonts w:cstheme="minorHAnsi"/>
        </w:rPr>
        <w:t>basato su dati oggettivi</w:t>
      </w:r>
      <w:r w:rsidR="00D5564A">
        <w:rPr>
          <w:rFonts w:cstheme="minorHAnsi"/>
        </w:rPr>
        <w:t xml:space="preserve">, al riparo </w:t>
      </w:r>
      <w:r w:rsidR="00016522">
        <w:rPr>
          <w:rFonts w:cstheme="minorHAnsi"/>
        </w:rPr>
        <w:t>strumentalizzazioni politiche</w:t>
      </w:r>
      <w:r w:rsidR="00C719D2">
        <w:rPr>
          <w:rFonts w:cstheme="minorHAnsi"/>
        </w:rPr>
        <w:t xml:space="preserve">. </w:t>
      </w:r>
      <w:r w:rsidR="00BF4EE7" w:rsidRPr="00BF4EE7">
        <w:rPr>
          <w:rFonts w:cstheme="minorHAnsi"/>
        </w:rPr>
        <w:t>Al tempo stesso, esort</w:t>
      </w:r>
      <w:r w:rsidR="00BF4EE7">
        <w:rPr>
          <w:rFonts w:cstheme="minorHAnsi"/>
        </w:rPr>
        <w:t xml:space="preserve">iamo </w:t>
      </w:r>
      <w:r w:rsidR="00BF4EE7" w:rsidRPr="00BF4EE7">
        <w:rPr>
          <w:rFonts w:cstheme="minorHAnsi"/>
        </w:rPr>
        <w:t xml:space="preserve">Governo, </w:t>
      </w:r>
      <w:r w:rsidR="00986031">
        <w:rPr>
          <w:rFonts w:cstheme="minorHAnsi"/>
        </w:rPr>
        <w:t xml:space="preserve">Regioni e ASL </w:t>
      </w:r>
      <w:r w:rsidR="00016522">
        <w:rPr>
          <w:rFonts w:cstheme="minorHAnsi"/>
        </w:rPr>
        <w:t xml:space="preserve">a </w:t>
      </w:r>
      <w:r w:rsidR="00986031">
        <w:rPr>
          <w:rFonts w:cstheme="minorHAnsi"/>
        </w:rPr>
        <w:t>condivi</w:t>
      </w:r>
      <w:r w:rsidR="00016522">
        <w:rPr>
          <w:rFonts w:cstheme="minorHAnsi"/>
        </w:rPr>
        <w:t>dere</w:t>
      </w:r>
      <w:r w:rsidR="00986031">
        <w:rPr>
          <w:rFonts w:cstheme="minorHAnsi"/>
        </w:rPr>
        <w:t xml:space="preserve"> le responsabilità</w:t>
      </w:r>
      <w:r w:rsidR="002B5256">
        <w:rPr>
          <w:rFonts w:cstheme="minorHAnsi"/>
        </w:rPr>
        <w:t xml:space="preserve">, facendo </w:t>
      </w:r>
      <w:r w:rsidR="00986031">
        <w:rPr>
          <w:rFonts w:cstheme="minorHAnsi"/>
        </w:rPr>
        <w:t xml:space="preserve">convergere gli sforzi </w:t>
      </w:r>
      <w:r>
        <w:rPr>
          <w:rFonts w:cstheme="minorHAnsi"/>
        </w:rPr>
        <w:t>su una</w:t>
      </w:r>
      <w:r w:rsidR="00986031">
        <w:rPr>
          <w:rFonts w:cstheme="minorHAnsi"/>
        </w:rPr>
        <w:t xml:space="preserve"> volata finale che </w:t>
      </w:r>
      <w:r w:rsidR="002B5256">
        <w:rPr>
          <w:rFonts w:cstheme="minorHAnsi"/>
        </w:rPr>
        <w:t xml:space="preserve">sarà </w:t>
      </w:r>
      <w:r w:rsidR="00986031">
        <w:rPr>
          <w:rFonts w:cstheme="minorHAnsi"/>
        </w:rPr>
        <w:t>una corsa contro il tempo</w:t>
      </w:r>
      <w:r w:rsidR="00986031" w:rsidRPr="00897B0F">
        <w:rPr>
          <w:rFonts w:cstheme="minorHAnsi"/>
        </w:rPr>
        <w:t>».</w:t>
      </w:r>
      <w:r w:rsidR="00BF4EE7" w:rsidRPr="00BF4EE7">
        <w:rPr>
          <w:rFonts w:cstheme="minorHAnsi"/>
        </w:rPr>
        <w:t xml:space="preserve"> </w:t>
      </w:r>
    </w:p>
    <w:p w14:paraId="0E5B390A" w14:textId="2C29EB5A" w:rsidR="00607B1B" w:rsidRPr="0087152C" w:rsidRDefault="0087152C" w:rsidP="00607B1B">
      <w:pPr>
        <w:jc w:val="both"/>
        <w:rPr>
          <w:b/>
          <w:bCs/>
        </w:rPr>
      </w:pPr>
      <w:r w:rsidRPr="00145826">
        <w:rPr>
          <w:b/>
          <w:bCs/>
        </w:rPr>
        <w:t xml:space="preserve">ROADMAP </w:t>
      </w:r>
      <w:r w:rsidRPr="0087152C">
        <w:rPr>
          <w:b/>
          <w:bCs/>
        </w:rPr>
        <w:t>AL 30 GIUGNO 2026</w:t>
      </w:r>
    </w:p>
    <w:p w14:paraId="2A52C135" w14:textId="066CE28B" w:rsidR="00262534" w:rsidRPr="00244D03" w:rsidRDefault="00244D03" w:rsidP="00262534">
      <w:pPr>
        <w:jc w:val="both"/>
        <w:rPr>
          <w:rFonts w:cstheme="minorHAnsi"/>
        </w:rPr>
      </w:pPr>
      <w:r w:rsidRPr="002B2760">
        <w:rPr>
          <w:rFonts w:cstheme="minorHAnsi"/>
          <w:b/>
          <w:bCs/>
        </w:rPr>
        <w:t>Risorse da spendere</w:t>
      </w:r>
      <w:r w:rsidRPr="002B2760">
        <w:rPr>
          <w:rFonts w:cstheme="minorHAnsi"/>
        </w:rPr>
        <w:t xml:space="preserve">. </w:t>
      </w:r>
      <w:r>
        <w:rPr>
          <w:rFonts w:cstheme="minorHAnsi"/>
        </w:rPr>
        <w:t xml:space="preserve">Secondo </w:t>
      </w:r>
      <w:r w:rsidR="00262534">
        <w:rPr>
          <w:rFonts w:cstheme="minorHAnsi"/>
        </w:rPr>
        <w:t>la</w:t>
      </w:r>
      <w:r>
        <w:rPr>
          <w:rFonts w:cstheme="minorHAnsi"/>
        </w:rPr>
        <w:t xml:space="preserve"> </w:t>
      </w:r>
      <w:hyperlink r:id="rId9" w:history="1">
        <w:r w:rsidRPr="00244D03">
          <w:rPr>
            <w:rStyle w:val="Collegamentoipertestuale"/>
            <w:rFonts w:cstheme="minorHAnsi"/>
          </w:rPr>
          <w:t>Relazione sullo Stato di Attuazione del PNRR</w:t>
        </w:r>
      </w:hyperlink>
      <w:r>
        <w:rPr>
          <w:rFonts w:cstheme="minorHAnsi"/>
        </w:rPr>
        <w:t xml:space="preserve"> della Corte dei Cont</w:t>
      </w:r>
      <w:r w:rsidR="003B6C34">
        <w:rPr>
          <w:rFonts w:cstheme="minorHAnsi"/>
        </w:rPr>
        <w:t>i</w:t>
      </w:r>
      <w:r w:rsidR="00262534">
        <w:rPr>
          <w:rFonts w:cstheme="minorHAnsi"/>
        </w:rPr>
        <w:t>,</w:t>
      </w:r>
      <w:r>
        <w:rPr>
          <w:rFonts w:cstheme="minorHAnsi"/>
        </w:rPr>
        <w:t xml:space="preserve"> pubblicata lo scorso 15 maggio</w:t>
      </w:r>
      <w:r w:rsidR="00262534">
        <w:rPr>
          <w:rFonts w:cstheme="minorHAnsi"/>
        </w:rPr>
        <w:t>,</w:t>
      </w:r>
      <w:r w:rsidR="003B6C34">
        <w:rPr>
          <w:rFonts w:cstheme="minorHAnsi"/>
        </w:rPr>
        <w:t xml:space="preserve"> </w:t>
      </w:r>
      <w:r w:rsidR="001A56FA">
        <w:rPr>
          <w:rFonts w:cstheme="minorHAnsi"/>
        </w:rPr>
        <w:t>al 31 dicembre 2024</w:t>
      </w:r>
      <w:r w:rsidR="00A8286E">
        <w:rPr>
          <w:rFonts w:cstheme="minorHAnsi"/>
        </w:rPr>
        <w:t xml:space="preserve"> </w:t>
      </w:r>
      <w:r w:rsidR="00262534">
        <w:rPr>
          <w:rFonts w:cstheme="minorHAnsi"/>
        </w:rPr>
        <w:t>risultavano ancora da spendere</w:t>
      </w:r>
      <w:r w:rsidR="00A8286E" w:rsidRPr="00E02658">
        <w:rPr>
          <w:rFonts w:cstheme="minorHAnsi"/>
        </w:rPr>
        <w:t xml:space="preserve"> € </w:t>
      </w:r>
      <w:r w:rsidR="00E02658" w:rsidRPr="00E02658">
        <w:rPr>
          <w:rFonts w:cstheme="minorHAnsi"/>
        </w:rPr>
        <w:t>1</w:t>
      </w:r>
      <w:r w:rsidR="002C761B" w:rsidRPr="00E02658">
        <w:rPr>
          <w:rFonts w:cstheme="minorHAnsi"/>
        </w:rPr>
        <w:t>2,</w:t>
      </w:r>
      <w:r w:rsidR="00E3193A" w:rsidRPr="00E02658">
        <w:rPr>
          <w:rFonts w:cstheme="minorHAnsi"/>
        </w:rPr>
        <w:t>8</w:t>
      </w:r>
      <w:r w:rsidR="00E3193A">
        <w:rPr>
          <w:rFonts w:cstheme="minorHAnsi"/>
        </w:rPr>
        <w:t>1</w:t>
      </w:r>
      <w:r w:rsidR="00E3193A" w:rsidRPr="00E02658">
        <w:rPr>
          <w:rFonts w:cstheme="minorHAnsi"/>
        </w:rPr>
        <w:t xml:space="preserve"> </w:t>
      </w:r>
      <w:r w:rsidR="002C761B" w:rsidRPr="00E02658">
        <w:rPr>
          <w:rFonts w:cstheme="minorHAnsi"/>
        </w:rPr>
        <w:t>miliardi</w:t>
      </w:r>
      <w:r w:rsidR="00A8286E" w:rsidRPr="00E02658">
        <w:rPr>
          <w:rFonts w:cstheme="minorHAnsi"/>
        </w:rPr>
        <w:t xml:space="preserve">, </w:t>
      </w:r>
      <w:r w:rsidR="00262534">
        <w:rPr>
          <w:rFonts w:cstheme="minorHAnsi"/>
        </w:rPr>
        <w:t>pari al</w:t>
      </w:r>
      <w:r w:rsidR="00E02658" w:rsidRPr="00E02658">
        <w:rPr>
          <w:rFonts w:cstheme="minorHAnsi"/>
        </w:rPr>
        <w:t>l’82%</w:t>
      </w:r>
      <w:r w:rsidR="001A56FA" w:rsidRPr="00E02658">
        <w:rPr>
          <w:rFonts w:cstheme="minorHAnsi"/>
        </w:rPr>
        <w:t xml:space="preserve"> delle risorse assegnate</w:t>
      </w:r>
      <w:r w:rsidR="00A8286E" w:rsidRPr="00E02658">
        <w:rPr>
          <w:rFonts w:cstheme="minorHAnsi"/>
        </w:rPr>
        <w:t xml:space="preserve">. </w:t>
      </w:r>
      <w:r w:rsidR="00A8286E">
        <w:rPr>
          <w:rFonts w:cstheme="minorHAnsi"/>
        </w:rPr>
        <w:t>Una percentuale che colloca la Missione Salute al penultimo posto</w:t>
      </w:r>
      <w:r w:rsidR="003B6C34">
        <w:rPr>
          <w:rFonts w:cstheme="minorHAnsi"/>
        </w:rPr>
        <w:t xml:space="preserve"> per spesa sostenuta</w:t>
      </w:r>
      <w:r w:rsidR="00E02658">
        <w:rPr>
          <w:rFonts w:cstheme="minorHAnsi"/>
        </w:rPr>
        <w:t xml:space="preserve"> (18%)</w:t>
      </w:r>
      <w:r w:rsidR="00A8286E">
        <w:rPr>
          <w:rFonts w:cstheme="minorHAnsi"/>
        </w:rPr>
        <w:t xml:space="preserve">, </w:t>
      </w:r>
      <w:r w:rsidR="00262534">
        <w:rPr>
          <w:rFonts w:cstheme="minorHAnsi"/>
        </w:rPr>
        <w:t xml:space="preserve">davanti </w:t>
      </w:r>
      <w:r w:rsidR="00986031">
        <w:rPr>
          <w:rFonts w:cstheme="minorHAnsi"/>
        </w:rPr>
        <w:t xml:space="preserve">solo </w:t>
      </w:r>
      <w:r w:rsidR="00262534">
        <w:rPr>
          <w:rFonts w:cstheme="minorHAnsi"/>
        </w:rPr>
        <w:t>al</w:t>
      </w:r>
      <w:r w:rsidR="00986031">
        <w:rPr>
          <w:rFonts w:cstheme="minorHAnsi"/>
        </w:rPr>
        <w:t xml:space="preserve">la </w:t>
      </w:r>
      <w:r w:rsidR="001A56FA">
        <w:rPr>
          <w:rFonts w:cstheme="minorHAnsi"/>
        </w:rPr>
        <w:t>Missione 5</w:t>
      </w:r>
      <w:r w:rsidR="00E3193A">
        <w:rPr>
          <w:rFonts w:cstheme="minorHAnsi"/>
        </w:rPr>
        <w:t xml:space="preserve"> (</w:t>
      </w:r>
      <w:r w:rsidR="00E3193A" w:rsidRPr="00E3193A">
        <w:rPr>
          <w:rFonts w:cstheme="minorHAnsi"/>
        </w:rPr>
        <w:t>Inclusione e Coesione</w:t>
      </w:r>
      <w:r w:rsidR="00E3193A">
        <w:rPr>
          <w:rFonts w:cstheme="minorHAnsi"/>
        </w:rPr>
        <w:t>)</w:t>
      </w:r>
      <w:r w:rsidR="00986031">
        <w:rPr>
          <w:rFonts w:cstheme="minorHAnsi"/>
        </w:rPr>
        <w:t xml:space="preserve"> ferma al </w:t>
      </w:r>
      <w:r w:rsidR="00A8286E">
        <w:rPr>
          <w:rFonts w:cstheme="minorHAnsi"/>
        </w:rPr>
        <w:t>15,9%.</w:t>
      </w:r>
      <w:r w:rsidR="00016522">
        <w:rPr>
          <w:rFonts w:cstheme="minorHAnsi"/>
        </w:rPr>
        <w:t xml:space="preserve"> </w:t>
      </w:r>
      <w:r w:rsidR="00A8286E" w:rsidRPr="000A55FA">
        <w:rPr>
          <w:rFonts w:cstheme="minorHAnsi"/>
        </w:rPr>
        <w:t>«</w:t>
      </w:r>
      <w:r w:rsidR="00C719D2">
        <w:rPr>
          <w:rFonts w:cstheme="minorHAnsi"/>
        </w:rPr>
        <w:t xml:space="preserve">Questi numeri </w:t>
      </w:r>
      <w:r w:rsidR="00A8286E" w:rsidRPr="006600BA">
        <w:t>–</w:t>
      </w:r>
      <w:r w:rsidR="00A8286E" w:rsidRPr="000A55FA">
        <w:rPr>
          <w:rFonts w:cstheme="minorHAnsi"/>
        </w:rPr>
        <w:t xml:space="preserve"> </w:t>
      </w:r>
      <w:r w:rsidR="00C719D2">
        <w:rPr>
          <w:rFonts w:cstheme="minorHAnsi"/>
        </w:rPr>
        <w:t xml:space="preserve">commenta </w:t>
      </w:r>
      <w:r w:rsidR="00A8286E" w:rsidRPr="000A55FA">
        <w:rPr>
          <w:rFonts w:cstheme="minorHAnsi"/>
        </w:rPr>
        <w:t xml:space="preserve">Cartabellotta </w:t>
      </w:r>
      <w:r w:rsidR="00A8286E" w:rsidRPr="006600BA">
        <w:t>–</w:t>
      </w:r>
      <w:r w:rsidR="00A8286E">
        <w:t xml:space="preserve"> </w:t>
      </w:r>
      <w:r w:rsidR="00C719D2">
        <w:t xml:space="preserve">documentano </w:t>
      </w:r>
      <w:r w:rsidR="00A8286E">
        <w:t xml:space="preserve">che </w:t>
      </w:r>
      <w:r w:rsidR="00C719D2">
        <w:t xml:space="preserve">serve </w:t>
      </w:r>
      <w:r w:rsidR="00262534">
        <w:t>un</w:t>
      </w:r>
      <w:r w:rsidR="00B254B3">
        <w:t xml:space="preserve"> impulso decisivo </w:t>
      </w:r>
      <w:r w:rsidR="004D1BE3">
        <w:t xml:space="preserve">per completare i progetti </w:t>
      </w:r>
      <w:r w:rsidR="00262534" w:rsidRPr="00262534">
        <w:rPr>
          <w:rFonts w:cstheme="minorHAnsi"/>
        </w:rPr>
        <w:t>e trasformare in servizi le risorse da spendere</w:t>
      </w:r>
      <w:r w:rsidR="00C719D2">
        <w:rPr>
          <w:rFonts w:cstheme="minorHAnsi"/>
        </w:rPr>
        <w:t xml:space="preserve">, senza alcun </w:t>
      </w:r>
      <w:r w:rsidR="00262534" w:rsidRPr="00262534">
        <w:rPr>
          <w:rFonts w:cstheme="minorHAnsi"/>
        </w:rPr>
        <w:t>margine per ritardi o inerzie</w:t>
      </w:r>
      <w:r w:rsidR="00A8286E" w:rsidRPr="000A55FA">
        <w:rPr>
          <w:rFonts w:cstheme="minorHAnsi"/>
        </w:rPr>
        <w:t>».</w:t>
      </w:r>
      <w:r w:rsidR="00A8286E">
        <w:rPr>
          <w:rFonts w:cstheme="minorHAnsi"/>
        </w:rPr>
        <w:t xml:space="preserve"> </w:t>
      </w:r>
      <w:r w:rsidR="00B254B3">
        <w:rPr>
          <w:rFonts w:cstheme="minorHAnsi"/>
        </w:rPr>
        <w:t>Infatti, s</w:t>
      </w:r>
      <w:r w:rsidR="00A8286E">
        <w:rPr>
          <w:rFonts w:cstheme="minorHAnsi"/>
        </w:rPr>
        <w:t>econdo la Corte dei Conti</w:t>
      </w:r>
      <w:r w:rsidR="00262534">
        <w:rPr>
          <w:rFonts w:cstheme="minorHAnsi"/>
        </w:rPr>
        <w:t>, per completare l’</w:t>
      </w:r>
      <w:r w:rsidR="00A8286E" w:rsidRPr="00A8286E">
        <w:rPr>
          <w:rFonts w:cstheme="minorHAnsi"/>
        </w:rPr>
        <w:t xml:space="preserve">attuazione finanziaria </w:t>
      </w:r>
      <w:r w:rsidR="00A8286E">
        <w:rPr>
          <w:rFonts w:cstheme="minorHAnsi"/>
        </w:rPr>
        <w:t>d</w:t>
      </w:r>
      <w:r w:rsidR="00EE1104">
        <w:rPr>
          <w:rFonts w:cstheme="minorHAnsi"/>
        </w:rPr>
        <w:t>elle Missioni 5 e 6</w:t>
      </w:r>
      <w:r w:rsidR="00A8286E" w:rsidRPr="00A8286E">
        <w:rPr>
          <w:rFonts w:cstheme="minorHAnsi"/>
        </w:rPr>
        <w:t xml:space="preserve">, in assenza di slittamenti, </w:t>
      </w:r>
      <w:r w:rsidR="00262534">
        <w:rPr>
          <w:rFonts w:cstheme="minorHAnsi"/>
        </w:rPr>
        <w:t xml:space="preserve">sarà </w:t>
      </w:r>
      <w:r w:rsidR="00262534">
        <w:rPr>
          <w:rFonts w:cstheme="minorHAnsi"/>
        </w:rPr>
        <w:lastRenderedPageBreak/>
        <w:t>necessario</w:t>
      </w:r>
      <w:r w:rsidR="00262534" w:rsidRPr="00A8286E">
        <w:rPr>
          <w:rFonts w:cstheme="minorHAnsi"/>
        </w:rPr>
        <w:t xml:space="preserve"> </w:t>
      </w:r>
      <w:r w:rsidR="00262534">
        <w:rPr>
          <w:rFonts w:cstheme="minorHAnsi"/>
        </w:rPr>
        <w:t xml:space="preserve">tra </w:t>
      </w:r>
      <w:r w:rsidR="00A8286E">
        <w:rPr>
          <w:rFonts w:cstheme="minorHAnsi"/>
        </w:rPr>
        <w:t xml:space="preserve">gennaio 2025 </w:t>
      </w:r>
      <w:r w:rsidR="00262534">
        <w:rPr>
          <w:rFonts w:cstheme="minorHAnsi"/>
        </w:rPr>
        <w:t xml:space="preserve">e </w:t>
      </w:r>
      <w:r w:rsidR="00A8286E">
        <w:rPr>
          <w:rFonts w:cstheme="minorHAnsi"/>
        </w:rPr>
        <w:t xml:space="preserve">giugno 2026 </w:t>
      </w:r>
      <w:r w:rsidR="00262534">
        <w:rPr>
          <w:rFonts w:cstheme="minorHAnsi"/>
        </w:rPr>
        <w:t>un ritmo di spesa oltre sette volte superiore</w:t>
      </w:r>
      <w:r w:rsidR="00A8286E">
        <w:rPr>
          <w:rFonts w:cstheme="minorHAnsi"/>
        </w:rPr>
        <w:t xml:space="preserve"> rispetto a</w:t>
      </w:r>
      <w:r w:rsidR="00016522">
        <w:rPr>
          <w:rFonts w:cstheme="minorHAnsi"/>
        </w:rPr>
        <w:t xml:space="preserve"> quello</w:t>
      </w:r>
      <w:r w:rsidR="00B254B3">
        <w:rPr>
          <w:rFonts w:cstheme="minorHAnsi"/>
        </w:rPr>
        <w:t xml:space="preserve"> </w:t>
      </w:r>
      <w:r w:rsidR="00016522">
        <w:rPr>
          <w:rFonts w:cstheme="minorHAnsi"/>
        </w:rPr>
        <w:t>d</w:t>
      </w:r>
      <w:r w:rsidR="00C64D21">
        <w:rPr>
          <w:rFonts w:cstheme="minorHAnsi"/>
        </w:rPr>
        <w:t>el</w:t>
      </w:r>
      <w:r w:rsidR="00E3193A">
        <w:rPr>
          <w:rFonts w:cstheme="minorHAnsi"/>
        </w:rPr>
        <w:t>l’intero</w:t>
      </w:r>
      <w:r w:rsidR="00C64D21">
        <w:rPr>
          <w:rFonts w:cstheme="minorHAnsi"/>
        </w:rPr>
        <w:t xml:space="preserve"> triennio</w:t>
      </w:r>
      <w:r w:rsidR="00A8286E">
        <w:rPr>
          <w:rFonts w:cstheme="minorHAnsi"/>
        </w:rPr>
        <w:t xml:space="preserve"> 2022-2024</w:t>
      </w:r>
      <w:r w:rsidR="00EE1104">
        <w:rPr>
          <w:rFonts w:cstheme="minorHAnsi"/>
        </w:rPr>
        <w:t>.</w:t>
      </w:r>
    </w:p>
    <w:p w14:paraId="61C3FC9D" w14:textId="77777777" w:rsidR="006B2D51" w:rsidRDefault="00C60652" w:rsidP="00E657D9">
      <w:pPr>
        <w:jc w:val="both"/>
        <w:rPr>
          <w:rFonts w:cstheme="minorHAnsi"/>
        </w:rPr>
      </w:pPr>
      <w:r w:rsidRPr="00C60652">
        <w:rPr>
          <w:rFonts w:cstheme="minorHAnsi"/>
          <w:b/>
          <w:bCs/>
        </w:rPr>
        <w:t>Target da raggiungere</w:t>
      </w:r>
      <w:r w:rsidR="00D01661">
        <w:rPr>
          <w:rFonts w:cstheme="minorHAnsi"/>
          <w:b/>
          <w:bCs/>
        </w:rPr>
        <w:t xml:space="preserve"> entro il 30 giugno 2026</w:t>
      </w:r>
      <w:r>
        <w:rPr>
          <w:rFonts w:cstheme="minorHAnsi"/>
        </w:rPr>
        <w:t xml:space="preserve">. </w:t>
      </w:r>
      <w:r w:rsidR="0087152C">
        <w:rPr>
          <w:rFonts w:cstheme="minorHAnsi"/>
        </w:rPr>
        <w:t xml:space="preserve">Il sito del Ministero della Salute, </w:t>
      </w:r>
      <w:hyperlink r:id="rId10" w:history="1">
        <w:r w:rsidR="0087152C" w:rsidRPr="0087152C">
          <w:rPr>
            <w:rStyle w:val="Collegamentoipertestuale"/>
            <w:rFonts w:cstheme="minorHAnsi"/>
          </w:rPr>
          <w:t>in occasione del pagamento della VII e VIII rata</w:t>
        </w:r>
      </w:hyperlink>
      <w:r w:rsidR="0087152C">
        <w:rPr>
          <w:rFonts w:cstheme="minorHAnsi"/>
        </w:rPr>
        <w:t xml:space="preserve">, riporta che </w:t>
      </w:r>
      <w:r w:rsidR="00565942">
        <w:rPr>
          <w:rFonts w:cstheme="minorHAnsi"/>
        </w:rPr>
        <w:t xml:space="preserve">per completare la Missione Salute </w:t>
      </w:r>
      <w:r w:rsidR="0087152C">
        <w:rPr>
          <w:rFonts w:cstheme="minorHAnsi"/>
        </w:rPr>
        <w:t xml:space="preserve">devono essere </w:t>
      </w:r>
      <w:r w:rsidR="00DB6E0F">
        <w:rPr>
          <w:rFonts w:cstheme="minorHAnsi"/>
        </w:rPr>
        <w:t>raggiunti</w:t>
      </w:r>
      <w:r w:rsidR="0087152C">
        <w:rPr>
          <w:rFonts w:cstheme="minorHAnsi"/>
        </w:rPr>
        <w:t xml:space="preserve"> </w:t>
      </w:r>
      <w:r w:rsidR="0087152C" w:rsidRPr="00C05173">
        <w:rPr>
          <w:rFonts w:cstheme="minorHAnsi"/>
        </w:rPr>
        <w:t xml:space="preserve">13 target </w:t>
      </w:r>
      <w:r w:rsidR="00DB6E0F">
        <w:rPr>
          <w:rFonts w:cstheme="minorHAnsi"/>
        </w:rPr>
        <w:t>e 1 milestone</w:t>
      </w:r>
      <w:r w:rsidR="00C05173">
        <w:rPr>
          <w:rFonts w:cstheme="minorHAnsi"/>
        </w:rPr>
        <w:t xml:space="preserve">: </w:t>
      </w:r>
      <w:r w:rsidR="006550CE">
        <w:rPr>
          <w:rFonts w:cstheme="minorHAnsi"/>
        </w:rPr>
        <w:t xml:space="preserve">3 </w:t>
      </w:r>
      <w:r w:rsidR="00DB6E0F">
        <w:rPr>
          <w:rFonts w:cstheme="minorHAnsi"/>
        </w:rPr>
        <w:t>target</w:t>
      </w:r>
      <w:r w:rsidR="00C05173">
        <w:rPr>
          <w:rFonts w:cstheme="minorHAnsi"/>
        </w:rPr>
        <w:t xml:space="preserve"> </w:t>
      </w:r>
      <w:r w:rsidR="00442E83">
        <w:rPr>
          <w:rFonts w:cstheme="minorHAnsi"/>
        </w:rPr>
        <w:t xml:space="preserve">entro il </w:t>
      </w:r>
      <w:r w:rsidR="00442E83" w:rsidRPr="00E11BDB">
        <w:rPr>
          <w:rFonts w:cstheme="minorHAnsi"/>
        </w:rPr>
        <w:t>31 dicembre 2025</w:t>
      </w:r>
      <w:r w:rsidR="00442E83">
        <w:rPr>
          <w:rFonts w:cstheme="minorHAnsi"/>
        </w:rPr>
        <w:t xml:space="preserve"> </w:t>
      </w:r>
      <w:r w:rsidR="00C05173">
        <w:rPr>
          <w:rFonts w:cstheme="minorHAnsi"/>
        </w:rPr>
        <w:t xml:space="preserve">ai fini </w:t>
      </w:r>
      <w:r w:rsidR="0087152C" w:rsidRPr="00E11BDB">
        <w:rPr>
          <w:rFonts w:cstheme="minorHAnsi"/>
        </w:rPr>
        <w:t>dell’erogazione della IX rata</w:t>
      </w:r>
      <w:r w:rsidR="00442E83">
        <w:rPr>
          <w:rFonts w:cstheme="minorHAnsi"/>
        </w:rPr>
        <w:t xml:space="preserve">; </w:t>
      </w:r>
      <w:r w:rsidR="006550CE">
        <w:rPr>
          <w:rFonts w:cstheme="minorHAnsi"/>
        </w:rPr>
        <w:t>10</w:t>
      </w:r>
      <w:r w:rsidR="006550CE" w:rsidRPr="00E11BDB">
        <w:rPr>
          <w:rFonts w:cstheme="minorHAnsi"/>
        </w:rPr>
        <w:t xml:space="preserve"> </w:t>
      </w:r>
      <w:r w:rsidR="0087152C" w:rsidRPr="00E11BDB">
        <w:rPr>
          <w:rFonts w:cstheme="minorHAnsi"/>
        </w:rPr>
        <w:t xml:space="preserve">target </w:t>
      </w:r>
      <w:r w:rsidR="00442E83">
        <w:rPr>
          <w:rFonts w:cstheme="minorHAnsi"/>
        </w:rPr>
        <w:t>e 1 milestone entro il</w:t>
      </w:r>
      <w:r w:rsidR="0087152C" w:rsidRPr="00E11BDB">
        <w:rPr>
          <w:rFonts w:cstheme="minorHAnsi"/>
        </w:rPr>
        <w:t xml:space="preserve"> 30 giugno 2026</w:t>
      </w:r>
      <w:r w:rsidR="00C05173">
        <w:rPr>
          <w:rFonts w:cstheme="minorHAnsi"/>
        </w:rPr>
        <w:t xml:space="preserve"> per </w:t>
      </w:r>
      <w:r w:rsidR="00262534">
        <w:rPr>
          <w:rFonts w:cstheme="minorHAnsi"/>
        </w:rPr>
        <w:t>incassare la</w:t>
      </w:r>
      <w:r w:rsidR="00C05173">
        <w:rPr>
          <w:rFonts w:cstheme="minorHAnsi"/>
        </w:rPr>
        <w:t xml:space="preserve"> X rata</w:t>
      </w:r>
      <w:r w:rsidR="0087152C" w:rsidRPr="00E11BDB">
        <w:rPr>
          <w:rFonts w:cstheme="minorHAnsi"/>
        </w:rPr>
        <w:t>.</w:t>
      </w:r>
      <w:r w:rsidR="0087152C">
        <w:rPr>
          <w:rFonts w:cstheme="minorHAnsi"/>
        </w:rPr>
        <w:t xml:space="preserve"> </w:t>
      </w:r>
      <w:r w:rsidR="006B2D51" w:rsidRPr="006B2D51">
        <w:rPr>
          <w:rFonts w:cstheme="minorHAnsi"/>
        </w:rPr>
        <w:t xml:space="preserve">«Il vero nodo – spiega Cartabellotta – è che il 30 giugno 2026 non segna </w:t>
      </w:r>
      <w:r w:rsidR="006B2D51">
        <w:rPr>
          <w:rFonts w:cstheme="minorHAnsi"/>
        </w:rPr>
        <w:t>solo</w:t>
      </w:r>
      <w:r w:rsidR="006B2D51" w:rsidRPr="006B2D51">
        <w:rPr>
          <w:rFonts w:cstheme="minorHAnsi"/>
        </w:rPr>
        <w:t xml:space="preserve"> il completamento formale dei target, ma coincide con la consegna </w:t>
      </w:r>
      <w:r w:rsidR="006B2D51">
        <w:rPr>
          <w:rFonts w:cstheme="minorHAnsi"/>
        </w:rPr>
        <w:t>reale</w:t>
      </w:r>
      <w:r w:rsidR="006B2D51" w:rsidRPr="006B2D51">
        <w:rPr>
          <w:rFonts w:cstheme="minorHAnsi"/>
        </w:rPr>
        <w:t xml:space="preserve"> di tutte le strutture e i servizi finanziati dal PNRR, che dovrebbero tradursi in un concreto miglioramento dell’assistenza sanitaria».</w:t>
      </w:r>
    </w:p>
    <w:p w14:paraId="2D0F4938" w14:textId="234719D5" w:rsidR="00D5564A" w:rsidRPr="00E657D9" w:rsidRDefault="00D23E01" w:rsidP="00E657D9">
      <w:pPr>
        <w:jc w:val="both"/>
        <w:rPr>
          <w:rFonts w:cstheme="minorHAnsi"/>
        </w:rPr>
      </w:pPr>
      <w:r>
        <w:rPr>
          <w:rFonts w:cstheme="minorHAnsi"/>
        </w:rPr>
        <w:t>La Fondazione GIMBE</w:t>
      </w:r>
      <w:r w:rsidR="008E5E39">
        <w:rPr>
          <w:rFonts w:cstheme="minorHAnsi"/>
        </w:rPr>
        <w:t xml:space="preserve">, </w:t>
      </w:r>
      <w:r w:rsidR="002A6D7C">
        <w:rPr>
          <w:rFonts w:cstheme="minorHAnsi"/>
        </w:rPr>
        <w:t xml:space="preserve">nell’impossibilità di </w:t>
      </w:r>
      <w:r w:rsidR="00C4243B">
        <w:rPr>
          <w:rFonts w:cstheme="minorHAnsi"/>
        </w:rPr>
        <w:t xml:space="preserve">un </w:t>
      </w:r>
      <w:r w:rsidR="002A6D7C">
        <w:rPr>
          <w:rFonts w:cstheme="minorHAnsi"/>
        </w:rPr>
        <w:t xml:space="preserve">pubblico accesso al sistema </w:t>
      </w:r>
      <w:proofErr w:type="spellStart"/>
      <w:r w:rsidR="008E5E39">
        <w:rPr>
          <w:rFonts w:cstheme="minorHAnsi"/>
        </w:rPr>
        <w:t>ReGis</w:t>
      </w:r>
      <w:proofErr w:type="spellEnd"/>
      <w:r w:rsidR="008E5E39">
        <w:rPr>
          <w:rFonts w:cstheme="minorHAnsi"/>
        </w:rPr>
        <w:t xml:space="preserve">, </w:t>
      </w:r>
      <w:r>
        <w:rPr>
          <w:rFonts w:cstheme="minorHAnsi"/>
        </w:rPr>
        <w:t xml:space="preserve">ha </w:t>
      </w:r>
      <w:r w:rsidR="00262534">
        <w:rPr>
          <w:rFonts w:cstheme="minorHAnsi"/>
        </w:rPr>
        <w:t xml:space="preserve">analizzato </w:t>
      </w:r>
      <w:r>
        <w:rPr>
          <w:rFonts w:cstheme="minorHAnsi"/>
        </w:rPr>
        <w:t xml:space="preserve">lo status di </w:t>
      </w:r>
      <w:r w:rsidRPr="00113A2A">
        <w:rPr>
          <w:rFonts w:cstheme="minorHAnsi"/>
        </w:rPr>
        <w:t>avanzamento d</w:t>
      </w:r>
      <w:r w:rsidR="009476CC" w:rsidRPr="00113A2A">
        <w:rPr>
          <w:rFonts w:cstheme="minorHAnsi"/>
        </w:rPr>
        <w:t>e</w:t>
      </w:r>
      <w:r w:rsidR="00E30E54">
        <w:rPr>
          <w:rFonts w:cstheme="minorHAnsi"/>
        </w:rPr>
        <w:t xml:space="preserve">gli obiettivi da raggiungere entro giugno 2026 </w:t>
      </w:r>
      <w:r w:rsidR="00262534">
        <w:rPr>
          <w:rFonts w:cstheme="minorHAnsi"/>
        </w:rPr>
        <w:t xml:space="preserve">utilizzando </w:t>
      </w:r>
      <w:r w:rsidR="008E5E39">
        <w:rPr>
          <w:rFonts w:cstheme="minorHAnsi"/>
        </w:rPr>
        <w:t xml:space="preserve">tutte </w:t>
      </w:r>
      <w:r w:rsidR="00262534">
        <w:rPr>
          <w:rFonts w:cstheme="minorHAnsi"/>
        </w:rPr>
        <w:t>le</w:t>
      </w:r>
      <w:r w:rsidR="009476CC">
        <w:rPr>
          <w:rFonts w:cstheme="minorHAnsi"/>
        </w:rPr>
        <w:t xml:space="preserve"> fonti </w:t>
      </w:r>
      <w:r w:rsidR="00E30E54">
        <w:rPr>
          <w:rFonts w:cstheme="minorHAnsi"/>
        </w:rPr>
        <w:t xml:space="preserve">istituzionali </w:t>
      </w:r>
      <w:r>
        <w:rPr>
          <w:rFonts w:cstheme="minorHAnsi"/>
        </w:rPr>
        <w:t>disponibili</w:t>
      </w:r>
      <w:r w:rsidR="00C12E59" w:rsidRPr="00C12E59">
        <w:rPr>
          <w:rFonts w:cstheme="minorHAnsi"/>
        </w:rPr>
        <w:t xml:space="preserve"> </w:t>
      </w:r>
      <w:r w:rsidR="00C12E59">
        <w:rPr>
          <w:rFonts w:cstheme="minorHAnsi"/>
        </w:rPr>
        <w:t>al 28 luglio 2025:</w:t>
      </w:r>
      <w:r>
        <w:rPr>
          <w:rFonts w:cstheme="minorHAnsi"/>
        </w:rPr>
        <w:t xml:space="preserve"> </w:t>
      </w:r>
      <w:r w:rsidR="00C05173">
        <w:rPr>
          <w:rFonts w:cstheme="minorHAnsi"/>
        </w:rPr>
        <w:t xml:space="preserve">Corte dei Conti, Ufficio Parlamentare di Bilancio, </w:t>
      </w:r>
      <w:r w:rsidR="00DC77F8">
        <w:rPr>
          <w:rFonts w:cstheme="minorHAnsi"/>
        </w:rPr>
        <w:t>Ministero della Salute</w:t>
      </w:r>
      <w:r w:rsidR="008E5E39">
        <w:rPr>
          <w:rFonts w:cstheme="minorHAnsi"/>
        </w:rPr>
        <w:t>,</w:t>
      </w:r>
      <w:r w:rsidR="00DC77F8">
        <w:rPr>
          <w:rFonts w:cstheme="minorHAnsi"/>
        </w:rPr>
        <w:t xml:space="preserve"> Dipartimento per la Trasformazione Digitale, </w:t>
      </w:r>
      <w:r w:rsidR="00355401">
        <w:rPr>
          <w:rFonts w:cstheme="minorHAnsi"/>
        </w:rPr>
        <w:t>Agenas</w:t>
      </w:r>
      <w:r w:rsidR="00406E5B">
        <w:rPr>
          <w:rFonts w:cstheme="minorHAnsi"/>
        </w:rPr>
        <w:t xml:space="preserve"> </w:t>
      </w:r>
      <w:r w:rsidR="00C12E59">
        <w:rPr>
          <w:rFonts w:cstheme="minorHAnsi"/>
        </w:rPr>
        <w:t>(</w:t>
      </w:r>
      <w:r w:rsidR="00DB68FC">
        <w:rPr>
          <w:rFonts w:cstheme="minorHAnsi"/>
          <w:highlight w:val="yellow"/>
        </w:rPr>
        <w:t>T</w:t>
      </w:r>
      <w:r w:rsidRPr="004A3BDC">
        <w:rPr>
          <w:rFonts w:cstheme="minorHAnsi"/>
          <w:highlight w:val="yellow"/>
        </w:rPr>
        <w:t xml:space="preserve">abella </w:t>
      </w:r>
      <w:r w:rsidR="004A3BDC">
        <w:rPr>
          <w:rFonts w:cstheme="minorHAnsi"/>
          <w:highlight w:val="yellow"/>
        </w:rPr>
        <w:t>1</w:t>
      </w:r>
      <w:r>
        <w:rPr>
          <w:rFonts w:cstheme="minorHAnsi"/>
        </w:rPr>
        <w:t>)</w:t>
      </w:r>
      <w:r w:rsidR="00262534">
        <w:rPr>
          <w:rFonts w:cstheme="minorHAnsi"/>
        </w:rPr>
        <w:t>.</w:t>
      </w:r>
      <w:r w:rsidR="00DE406F">
        <w:rPr>
          <w:rFonts w:cstheme="minorHAnsi"/>
        </w:rPr>
        <w:t xml:space="preserve"> </w:t>
      </w:r>
      <w:r w:rsidR="00DE406F" w:rsidRPr="000A55FA">
        <w:rPr>
          <w:rFonts w:cstheme="minorHAnsi"/>
        </w:rPr>
        <w:t>«</w:t>
      </w:r>
      <w:r w:rsidR="006B2D51">
        <w:rPr>
          <w:rFonts w:cstheme="minorHAnsi"/>
        </w:rPr>
        <w:t xml:space="preserve">È verosimile </w:t>
      </w:r>
      <w:r w:rsidR="00DE406F" w:rsidRPr="006600BA">
        <w:t>–</w:t>
      </w:r>
      <w:r w:rsidR="00DE406F" w:rsidRPr="000A55FA">
        <w:rPr>
          <w:rFonts w:cstheme="minorHAnsi"/>
        </w:rPr>
        <w:t xml:space="preserve"> </w:t>
      </w:r>
      <w:r w:rsidR="00DE406F">
        <w:rPr>
          <w:rFonts w:cstheme="minorHAnsi"/>
        </w:rPr>
        <w:t xml:space="preserve">commenta </w:t>
      </w:r>
      <w:r w:rsidR="00DE406F" w:rsidRPr="000A55FA">
        <w:rPr>
          <w:rFonts w:cstheme="minorHAnsi"/>
        </w:rPr>
        <w:t xml:space="preserve">Cartabellotta </w:t>
      </w:r>
      <w:r w:rsidR="00DE406F" w:rsidRPr="006600BA">
        <w:t>–</w:t>
      </w:r>
      <w:r w:rsidR="006B2D51">
        <w:t xml:space="preserve"> </w:t>
      </w:r>
      <w:r w:rsidR="00DE406F">
        <w:rPr>
          <w:rFonts w:cstheme="minorHAnsi"/>
        </w:rPr>
        <w:t xml:space="preserve">che alcuni progetti </w:t>
      </w:r>
      <w:r w:rsidR="00262534" w:rsidRPr="00262534">
        <w:rPr>
          <w:rFonts w:cstheme="minorHAnsi"/>
        </w:rPr>
        <w:t xml:space="preserve">siano più avanti di quanto </w:t>
      </w:r>
      <w:r w:rsidR="00EA690D">
        <w:rPr>
          <w:rFonts w:cstheme="minorHAnsi"/>
        </w:rPr>
        <w:t>riportato</w:t>
      </w:r>
      <w:r w:rsidR="00262534">
        <w:rPr>
          <w:rFonts w:cstheme="minorHAnsi"/>
        </w:rPr>
        <w:t xml:space="preserve">. </w:t>
      </w:r>
      <w:r w:rsidR="002A6D7C">
        <w:rPr>
          <w:rFonts w:cstheme="minorHAnsi"/>
        </w:rPr>
        <w:t>Ma allo stesso tempo è poco realistico</w:t>
      </w:r>
      <w:r w:rsidR="00DE406F">
        <w:rPr>
          <w:rFonts w:cstheme="minorHAnsi"/>
        </w:rPr>
        <w:t xml:space="preserve"> immaginare</w:t>
      </w:r>
      <w:r w:rsidR="002A6D7C">
        <w:rPr>
          <w:rFonts w:cstheme="minorHAnsi"/>
        </w:rPr>
        <w:t xml:space="preserve"> che</w:t>
      </w:r>
      <w:r w:rsidR="00DE406F">
        <w:rPr>
          <w:rFonts w:cstheme="minorHAnsi"/>
        </w:rPr>
        <w:t xml:space="preserve">, </w:t>
      </w:r>
      <w:r w:rsidR="00B37E98">
        <w:rPr>
          <w:rFonts w:cstheme="minorHAnsi"/>
        </w:rPr>
        <w:t>anche per i dati aggiornati a dicembre 2024</w:t>
      </w:r>
      <w:r w:rsidR="00347C69">
        <w:rPr>
          <w:rFonts w:cstheme="minorHAnsi"/>
        </w:rPr>
        <w:t>,</w:t>
      </w:r>
      <w:r w:rsidR="00B37E98">
        <w:rPr>
          <w:rFonts w:cstheme="minorHAnsi"/>
        </w:rPr>
        <w:t xml:space="preserve"> in </w:t>
      </w:r>
      <w:r w:rsidR="002A6D7C">
        <w:rPr>
          <w:rFonts w:cstheme="minorHAnsi"/>
        </w:rPr>
        <w:t xml:space="preserve">soli </w:t>
      </w:r>
      <w:r w:rsidR="00B37E98">
        <w:rPr>
          <w:rFonts w:cstheme="minorHAnsi"/>
        </w:rPr>
        <w:t xml:space="preserve">sei </w:t>
      </w:r>
      <w:r w:rsidR="00DE406F">
        <w:rPr>
          <w:rFonts w:cstheme="minorHAnsi"/>
        </w:rPr>
        <w:t xml:space="preserve">mesi siano stati compiuti exploit </w:t>
      </w:r>
      <w:r w:rsidR="00347C69">
        <w:rPr>
          <w:rFonts w:cstheme="minorHAnsi"/>
        </w:rPr>
        <w:t xml:space="preserve">tali </w:t>
      </w:r>
      <w:r w:rsidR="00DE406F">
        <w:rPr>
          <w:rFonts w:cstheme="minorHAnsi"/>
        </w:rPr>
        <w:t>da recuperare i ritardi accumulati</w:t>
      </w:r>
      <w:r w:rsidR="00B37E98">
        <w:rPr>
          <w:rFonts w:cstheme="minorHAnsi"/>
        </w:rPr>
        <w:t xml:space="preserve">, soprattutto nelle Regioni più </w:t>
      </w:r>
      <w:r w:rsidR="00347C69">
        <w:rPr>
          <w:rFonts w:cstheme="minorHAnsi"/>
        </w:rPr>
        <w:t>indietro</w:t>
      </w:r>
      <w:r w:rsidR="00DE406F" w:rsidRPr="000A55FA">
        <w:rPr>
          <w:rFonts w:cstheme="minorHAnsi"/>
        </w:rPr>
        <w:t>».</w:t>
      </w:r>
    </w:p>
    <w:p w14:paraId="107839AA" w14:textId="05BC7938" w:rsidR="00E657D9" w:rsidRPr="001D772B" w:rsidRDefault="002D5D4E" w:rsidP="00E657D9">
      <w:pPr>
        <w:jc w:val="both"/>
        <w:rPr>
          <w:rFonts w:cstheme="minorHAnsi"/>
          <w:bCs/>
        </w:rPr>
      </w:pPr>
      <w:r w:rsidRPr="00D01661">
        <w:rPr>
          <w:rFonts w:cstheme="minorHAnsi"/>
          <w:b/>
          <w:bCs/>
        </w:rPr>
        <w:t xml:space="preserve">TARGET IN </w:t>
      </w:r>
      <w:r w:rsidR="00E02377" w:rsidRPr="00D01661">
        <w:rPr>
          <w:rFonts w:cstheme="minorHAnsi"/>
          <w:b/>
          <w:bCs/>
        </w:rPr>
        <w:t>NETTO</w:t>
      </w:r>
      <w:r w:rsidR="00BF34BB" w:rsidRPr="00D01661">
        <w:rPr>
          <w:rFonts w:cstheme="minorHAnsi"/>
          <w:b/>
          <w:bCs/>
        </w:rPr>
        <w:t xml:space="preserve"> </w:t>
      </w:r>
      <w:r w:rsidRPr="00D01661">
        <w:rPr>
          <w:rFonts w:cstheme="minorHAnsi"/>
          <w:b/>
          <w:bCs/>
        </w:rPr>
        <w:t>RITARDO</w:t>
      </w:r>
      <w:r w:rsidR="00D26484" w:rsidRPr="00D01661">
        <w:rPr>
          <w:rFonts w:cstheme="minorHAnsi"/>
          <w:b/>
          <w:bCs/>
        </w:rPr>
        <w:t xml:space="preserve"> </w:t>
      </w:r>
      <w:r w:rsidR="00D26484">
        <w:rPr>
          <w:rFonts w:cstheme="minorHAnsi"/>
          <w:b/>
          <w:bCs/>
        </w:rPr>
        <w:t>(</w:t>
      </w:r>
      <w:r w:rsidR="00F74A63">
        <w:rPr>
          <w:rFonts w:cstheme="minorHAnsi"/>
          <w:b/>
          <w:bCs/>
        </w:rPr>
        <w:t>N</w:t>
      </w:r>
      <w:r w:rsidR="00D26484">
        <w:rPr>
          <w:rFonts w:cstheme="minorHAnsi"/>
          <w:b/>
          <w:bCs/>
        </w:rPr>
        <w:t>.</w:t>
      </w:r>
      <w:r w:rsidR="00F74A63">
        <w:rPr>
          <w:rFonts w:cstheme="minorHAnsi"/>
          <w:b/>
          <w:bCs/>
        </w:rPr>
        <w:t xml:space="preserve"> 3</w:t>
      </w:r>
      <w:r w:rsidR="00D26484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 xml:space="preserve">.  </w:t>
      </w:r>
      <w:r w:rsidR="00481DC1">
        <w:rPr>
          <w:rFonts w:cstheme="minorHAnsi"/>
          <w:bCs/>
        </w:rPr>
        <w:t>Oltre al potenziamento dei posti letto in terapia intensiva e semi-intensiva, è</w:t>
      </w:r>
      <w:r w:rsidR="002A6D7C">
        <w:rPr>
          <w:rFonts w:cstheme="minorHAnsi"/>
          <w:bCs/>
        </w:rPr>
        <w:t xml:space="preserve"> </w:t>
      </w:r>
      <w:r w:rsidR="006B2D51">
        <w:rPr>
          <w:rFonts w:cstheme="minorHAnsi"/>
          <w:bCs/>
        </w:rPr>
        <w:t>la riorganizzazione dell</w:t>
      </w:r>
      <w:r w:rsidR="007D783D" w:rsidRPr="001D772B">
        <w:rPr>
          <w:rFonts w:cstheme="minorHAnsi"/>
          <w:bCs/>
        </w:rPr>
        <w:t>’assistenza territoriale</w:t>
      </w:r>
      <w:r w:rsidR="00B37E98">
        <w:rPr>
          <w:rFonts w:cstheme="minorHAnsi"/>
          <w:bCs/>
        </w:rPr>
        <w:t xml:space="preserve"> </w:t>
      </w:r>
      <w:r w:rsidR="002A6D7C" w:rsidRPr="002A6D7C">
        <w:rPr>
          <w:rFonts w:cstheme="minorHAnsi"/>
          <w:bCs/>
        </w:rPr>
        <w:t>l’obiettivo più critico</w:t>
      </w:r>
      <w:r w:rsidR="007D783D" w:rsidRPr="001D772B">
        <w:rPr>
          <w:rFonts w:cstheme="minorHAnsi"/>
          <w:bCs/>
        </w:rPr>
        <w:t xml:space="preserve">. </w:t>
      </w:r>
      <w:r w:rsidR="00DB39AB">
        <w:rPr>
          <w:rFonts w:cstheme="minorHAnsi"/>
          <w:bCs/>
        </w:rPr>
        <w:t>Infatti, i</w:t>
      </w:r>
      <w:r w:rsidR="007D783D" w:rsidRPr="001D772B">
        <w:rPr>
          <w:rFonts w:cstheme="minorHAnsi"/>
          <w:bCs/>
        </w:rPr>
        <w:t xml:space="preserve"> dati </w:t>
      </w:r>
      <w:r w:rsidR="00DB39AB">
        <w:rPr>
          <w:rFonts w:cstheme="minorHAnsi"/>
          <w:bCs/>
        </w:rPr>
        <w:t>del Monitoraggio Agenas</w:t>
      </w:r>
      <w:r w:rsidR="002A6D7C">
        <w:rPr>
          <w:rFonts w:cstheme="minorHAnsi"/>
          <w:bCs/>
        </w:rPr>
        <w:t>,</w:t>
      </w:r>
      <w:r w:rsidR="007D783D" w:rsidRPr="001D772B">
        <w:rPr>
          <w:rFonts w:cstheme="minorHAnsi"/>
          <w:bCs/>
        </w:rPr>
        <w:t xml:space="preserve"> aggiornati al 20 dicembre 2024</w:t>
      </w:r>
      <w:r w:rsidR="00B37E98">
        <w:rPr>
          <w:rFonts w:cstheme="minorHAnsi"/>
          <w:bCs/>
        </w:rPr>
        <w:t>,</w:t>
      </w:r>
      <w:r w:rsidR="007D783D" w:rsidRPr="001D772B">
        <w:rPr>
          <w:rFonts w:cstheme="minorHAnsi"/>
          <w:bCs/>
        </w:rPr>
        <w:t xml:space="preserve"> </w:t>
      </w:r>
      <w:r w:rsidR="00B37E98">
        <w:rPr>
          <w:rFonts w:cstheme="minorHAnsi"/>
          <w:bCs/>
        </w:rPr>
        <w:t xml:space="preserve">documentano </w:t>
      </w:r>
      <w:r w:rsidR="007D783D" w:rsidRPr="001D772B">
        <w:rPr>
          <w:rFonts w:cstheme="minorHAnsi"/>
          <w:bCs/>
        </w:rPr>
        <w:t xml:space="preserve">ritardi </w:t>
      </w:r>
      <w:r w:rsidR="00347C69">
        <w:rPr>
          <w:rFonts w:cstheme="minorHAnsi"/>
          <w:bCs/>
        </w:rPr>
        <w:t>sostanziali</w:t>
      </w:r>
      <w:r w:rsidR="00347C69" w:rsidRPr="001D772B">
        <w:rPr>
          <w:rFonts w:cstheme="minorHAnsi"/>
          <w:bCs/>
        </w:rPr>
        <w:t xml:space="preserve"> </w:t>
      </w:r>
      <w:r w:rsidR="007D783D" w:rsidRPr="001D772B">
        <w:rPr>
          <w:rFonts w:cstheme="minorHAnsi"/>
          <w:bCs/>
        </w:rPr>
        <w:t>nell</w:t>
      </w:r>
      <w:r w:rsidR="00B37E98">
        <w:rPr>
          <w:rFonts w:cstheme="minorHAnsi"/>
          <w:bCs/>
        </w:rPr>
        <w:t xml:space="preserve">a piena </w:t>
      </w:r>
      <w:r w:rsidR="007D783D" w:rsidRPr="001D772B">
        <w:rPr>
          <w:rFonts w:cstheme="minorHAnsi"/>
          <w:bCs/>
        </w:rPr>
        <w:t>attivazione di Case e Ospedali di Comunità.</w:t>
      </w:r>
      <w:r w:rsidR="00481DC1">
        <w:rPr>
          <w:rFonts w:cstheme="minorHAnsi"/>
          <w:bCs/>
        </w:rPr>
        <w:t xml:space="preserve"> </w:t>
      </w:r>
    </w:p>
    <w:p w14:paraId="7EB871DE" w14:textId="75857788" w:rsidR="00E657D9" w:rsidRDefault="001D772B" w:rsidP="001D772B">
      <w:pPr>
        <w:jc w:val="both"/>
        <w:rPr>
          <w:rFonts w:cstheme="minorHAnsi"/>
        </w:rPr>
      </w:pPr>
      <w:r w:rsidRPr="001D772B">
        <w:rPr>
          <w:rFonts w:cstheme="minorHAnsi"/>
          <w:b/>
        </w:rPr>
        <w:t>Case della Comunità.</w:t>
      </w:r>
      <w:r>
        <w:rPr>
          <w:rFonts w:cstheme="minorHAnsi"/>
        </w:rPr>
        <w:t xml:space="preserve"> </w:t>
      </w:r>
      <w:r w:rsidRPr="001D772B">
        <w:rPr>
          <w:rFonts w:cstheme="minorHAnsi"/>
        </w:rPr>
        <w:t xml:space="preserve">Il target prevede che entro il 30 giugno 2026 siano </w:t>
      </w:r>
      <w:r w:rsidR="00B37E98">
        <w:rPr>
          <w:rFonts w:cstheme="minorHAnsi"/>
        </w:rPr>
        <w:t xml:space="preserve">pienamente </w:t>
      </w:r>
      <w:r w:rsidRPr="001D772B">
        <w:rPr>
          <w:rFonts w:cstheme="minorHAnsi"/>
        </w:rPr>
        <w:t xml:space="preserve">operative almeno 1.038 Case della Comunità, </w:t>
      </w:r>
      <w:r w:rsidR="00347C69">
        <w:rPr>
          <w:rFonts w:cstheme="minorHAnsi"/>
        </w:rPr>
        <w:t xml:space="preserve">dotate di </w:t>
      </w:r>
      <w:r w:rsidR="00DB39AB">
        <w:rPr>
          <w:rFonts w:cstheme="minorHAnsi"/>
        </w:rPr>
        <w:t xml:space="preserve">servizi </w:t>
      </w:r>
      <w:r w:rsidR="00347C69">
        <w:rPr>
          <w:rFonts w:cstheme="minorHAnsi"/>
        </w:rPr>
        <w:t>e</w:t>
      </w:r>
      <w:r w:rsidR="00B37E98">
        <w:rPr>
          <w:rFonts w:cstheme="minorHAnsi"/>
        </w:rPr>
        <w:t xml:space="preserve"> personale sanitario</w:t>
      </w:r>
      <w:r w:rsidRPr="001D772B">
        <w:rPr>
          <w:rFonts w:cstheme="minorHAnsi"/>
        </w:rPr>
        <w:t>. Tuttavia, a dicembre 2024, solo 164</w:t>
      </w:r>
      <w:r w:rsidR="00347C69">
        <w:rPr>
          <w:rFonts w:cstheme="minorHAnsi"/>
        </w:rPr>
        <w:t xml:space="preserve"> strutture</w:t>
      </w:r>
      <w:r w:rsidRPr="001D772B">
        <w:rPr>
          <w:rFonts w:cstheme="minorHAnsi"/>
        </w:rPr>
        <w:t xml:space="preserve"> (15,8%) </w:t>
      </w:r>
      <w:r w:rsidR="00B37E98">
        <w:rPr>
          <w:rFonts w:cstheme="minorHAnsi"/>
        </w:rPr>
        <w:t xml:space="preserve">avevano attivato </w:t>
      </w:r>
      <w:r w:rsidRPr="001D772B">
        <w:rPr>
          <w:rFonts w:cstheme="minorHAnsi"/>
        </w:rPr>
        <w:t xml:space="preserve">tutti i servizi </w:t>
      </w:r>
      <w:r w:rsidR="00B37E98">
        <w:rPr>
          <w:rFonts w:cstheme="minorHAnsi"/>
        </w:rPr>
        <w:t xml:space="preserve">previsti </w:t>
      </w:r>
      <w:r w:rsidRPr="001D772B">
        <w:rPr>
          <w:rFonts w:cstheme="minorHAnsi"/>
        </w:rPr>
        <w:t>e</w:t>
      </w:r>
      <w:r w:rsidR="00BD7B74">
        <w:rPr>
          <w:rFonts w:cstheme="minorHAnsi"/>
        </w:rPr>
        <w:t xml:space="preserve">, </w:t>
      </w:r>
      <w:r w:rsidR="002A6D7C">
        <w:rPr>
          <w:rFonts w:cstheme="minorHAnsi"/>
        </w:rPr>
        <w:t xml:space="preserve">tra </w:t>
      </w:r>
      <w:r w:rsidR="00BD7B74">
        <w:rPr>
          <w:rFonts w:cstheme="minorHAnsi"/>
        </w:rPr>
        <w:t xml:space="preserve">queste, </w:t>
      </w:r>
      <w:r w:rsidRPr="001D772B">
        <w:rPr>
          <w:rFonts w:cstheme="minorHAnsi"/>
        </w:rPr>
        <w:t xml:space="preserve">appena 46 (4,4%) </w:t>
      </w:r>
      <w:r w:rsidR="002A6D7C">
        <w:rPr>
          <w:rFonts w:cstheme="minorHAnsi"/>
        </w:rPr>
        <w:t>disponevano di</w:t>
      </w:r>
      <w:r w:rsidR="008E5E39">
        <w:rPr>
          <w:rFonts w:cstheme="minorHAnsi"/>
        </w:rPr>
        <w:t xml:space="preserve"> </w:t>
      </w:r>
      <w:r w:rsidRPr="001D772B">
        <w:rPr>
          <w:rFonts w:cstheme="minorHAnsi"/>
        </w:rPr>
        <w:t xml:space="preserve">personale medico e infermieristico. </w:t>
      </w:r>
      <w:r w:rsidR="00DB39AB">
        <w:rPr>
          <w:rFonts w:cstheme="minorHAnsi"/>
        </w:rPr>
        <w:t>I</w:t>
      </w:r>
      <w:r w:rsidRPr="001D772B">
        <w:rPr>
          <w:rFonts w:cstheme="minorHAnsi"/>
        </w:rPr>
        <w:t xml:space="preserve">n </w:t>
      </w:r>
      <w:r w:rsidR="00AA2ECD">
        <w:rPr>
          <w:rFonts w:cstheme="minorHAnsi"/>
        </w:rPr>
        <w:t xml:space="preserve">485 </w:t>
      </w:r>
      <w:r w:rsidRPr="001D772B">
        <w:rPr>
          <w:rFonts w:cstheme="minorHAnsi"/>
        </w:rPr>
        <w:t xml:space="preserve">strutture (46,7%) </w:t>
      </w:r>
      <w:r w:rsidR="00B37E98">
        <w:rPr>
          <w:rFonts w:cstheme="minorHAnsi"/>
        </w:rPr>
        <w:t xml:space="preserve">risultava </w:t>
      </w:r>
      <w:r w:rsidRPr="001D772B">
        <w:rPr>
          <w:rFonts w:cstheme="minorHAnsi"/>
        </w:rPr>
        <w:t>attivo un solo servizio</w:t>
      </w:r>
      <w:r w:rsidR="00347C69">
        <w:rPr>
          <w:rFonts w:cstheme="minorHAnsi"/>
        </w:rPr>
        <w:t>, mentre le</w:t>
      </w:r>
      <w:r w:rsidR="00B37E98">
        <w:rPr>
          <w:rFonts w:cstheme="minorHAnsi"/>
        </w:rPr>
        <w:t xml:space="preserve"> rimanenti 389 </w:t>
      </w:r>
      <w:r w:rsidR="00DB39AB">
        <w:rPr>
          <w:rFonts w:cstheme="minorHAnsi"/>
        </w:rPr>
        <w:t xml:space="preserve">Case di Comunità </w:t>
      </w:r>
      <w:r w:rsidR="00B37E98">
        <w:rPr>
          <w:rFonts w:cstheme="minorHAnsi"/>
        </w:rPr>
        <w:t>(</w:t>
      </w:r>
      <w:r w:rsidR="006571C6">
        <w:rPr>
          <w:rFonts w:cstheme="minorHAnsi"/>
        </w:rPr>
        <w:t>37,</w:t>
      </w:r>
      <w:r w:rsidR="00C4243B">
        <w:rPr>
          <w:rFonts w:cstheme="minorHAnsi"/>
        </w:rPr>
        <w:t>5</w:t>
      </w:r>
      <w:r w:rsidR="00B37E98">
        <w:rPr>
          <w:rFonts w:cstheme="minorHAnsi"/>
        </w:rPr>
        <w:t>%) non risultavano aver attivato alcun servizio</w:t>
      </w:r>
      <w:r w:rsidR="008E5E39">
        <w:rPr>
          <w:rFonts w:cstheme="minorHAnsi"/>
        </w:rPr>
        <w:t>.</w:t>
      </w:r>
      <w:r w:rsidR="00B37E98">
        <w:rPr>
          <w:rFonts w:cstheme="minorHAnsi"/>
        </w:rPr>
        <w:t xml:space="preserve"> </w:t>
      </w:r>
      <w:r w:rsidRPr="001D772B">
        <w:rPr>
          <w:rFonts w:cstheme="minorHAnsi"/>
        </w:rPr>
        <w:t>«</w:t>
      </w:r>
      <w:r w:rsidR="00DB39AB">
        <w:rPr>
          <w:rFonts w:cstheme="minorHAnsi"/>
        </w:rPr>
        <w:t xml:space="preserve">Al di là dei ritardi nel completamento strutturale e tecnologico </w:t>
      </w:r>
      <w:r w:rsidRPr="001D772B">
        <w:rPr>
          <w:rFonts w:cstheme="minorHAnsi"/>
        </w:rPr>
        <w:t>– avverte Cartabellotta –</w:t>
      </w:r>
      <w:r w:rsidR="00BD7B74">
        <w:rPr>
          <w:rFonts w:cstheme="minorHAnsi"/>
        </w:rPr>
        <w:t xml:space="preserve"> </w:t>
      </w:r>
      <w:r w:rsidR="00DB39AB">
        <w:rPr>
          <w:rFonts w:cstheme="minorHAnsi"/>
        </w:rPr>
        <w:t>preoccupa</w:t>
      </w:r>
      <w:r w:rsidR="00BD7B74">
        <w:rPr>
          <w:rFonts w:cstheme="minorHAnsi"/>
        </w:rPr>
        <w:t xml:space="preserve">no </w:t>
      </w:r>
      <w:r w:rsidR="00DB39AB">
        <w:rPr>
          <w:rFonts w:cstheme="minorHAnsi"/>
        </w:rPr>
        <w:t xml:space="preserve">la grave carenza di infermieri e </w:t>
      </w:r>
      <w:r w:rsidR="00AA2ECD">
        <w:rPr>
          <w:rFonts w:cstheme="minorHAnsi"/>
        </w:rPr>
        <w:t xml:space="preserve">il mancato accordo con </w:t>
      </w:r>
      <w:r w:rsidR="00DB39AB">
        <w:rPr>
          <w:rFonts w:cstheme="minorHAnsi"/>
        </w:rPr>
        <w:t xml:space="preserve">i medici di famiglia </w:t>
      </w:r>
      <w:r w:rsidR="00AA2ECD">
        <w:rPr>
          <w:rFonts w:cstheme="minorHAnsi"/>
        </w:rPr>
        <w:t xml:space="preserve">per </w:t>
      </w:r>
      <w:r w:rsidR="00DB39AB">
        <w:rPr>
          <w:rFonts w:cstheme="minorHAnsi"/>
        </w:rPr>
        <w:t xml:space="preserve">lavorare nelle Case di Comunità. </w:t>
      </w:r>
      <w:r w:rsidR="00AD58CE">
        <w:rPr>
          <w:rFonts w:cstheme="minorHAnsi"/>
        </w:rPr>
        <w:t xml:space="preserve">Così </w:t>
      </w:r>
      <w:r w:rsidR="00B37E98">
        <w:rPr>
          <w:rFonts w:cstheme="minorHAnsi"/>
        </w:rPr>
        <w:t xml:space="preserve">la grande sfida della riforma territoriale </w:t>
      </w:r>
      <w:r w:rsidR="00B05C54">
        <w:rPr>
          <w:rFonts w:cstheme="minorHAnsi"/>
        </w:rPr>
        <w:t xml:space="preserve">rischia di </w:t>
      </w:r>
      <w:r w:rsidR="007A2AE6">
        <w:rPr>
          <w:rFonts w:cstheme="minorHAnsi"/>
        </w:rPr>
        <w:t xml:space="preserve">essere </w:t>
      </w:r>
      <w:r w:rsidR="00B05C54">
        <w:rPr>
          <w:rFonts w:cstheme="minorHAnsi"/>
        </w:rPr>
        <w:t xml:space="preserve">rimanere </w:t>
      </w:r>
      <w:r w:rsidR="00347C69">
        <w:rPr>
          <w:rFonts w:cstheme="minorHAnsi"/>
        </w:rPr>
        <w:t xml:space="preserve">una colossale </w:t>
      </w:r>
      <w:r w:rsidR="00B37E98">
        <w:rPr>
          <w:rFonts w:cstheme="minorHAnsi"/>
        </w:rPr>
        <w:t>opera di edilizia sanitaria</w:t>
      </w:r>
      <w:r w:rsidR="00AD58CE">
        <w:rPr>
          <w:rFonts w:cstheme="minorHAnsi"/>
        </w:rPr>
        <w:t xml:space="preserve"> o di </w:t>
      </w:r>
      <w:r w:rsidR="00AA2ECD">
        <w:rPr>
          <w:rFonts w:cstheme="minorHAnsi"/>
        </w:rPr>
        <w:t xml:space="preserve">essere </w:t>
      </w:r>
      <w:r w:rsidR="00AD58CE">
        <w:rPr>
          <w:rFonts w:cstheme="minorHAnsi"/>
        </w:rPr>
        <w:t>affida</w:t>
      </w:r>
      <w:r w:rsidR="00AA2ECD">
        <w:rPr>
          <w:rFonts w:cstheme="minorHAnsi"/>
        </w:rPr>
        <w:t xml:space="preserve">ta </w:t>
      </w:r>
      <w:r w:rsidR="00AD58CE">
        <w:rPr>
          <w:rFonts w:cstheme="minorHAnsi"/>
        </w:rPr>
        <w:t>ai privati</w:t>
      </w:r>
      <w:r w:rsidRPr="001D772B">
        <w:rPr>
          <w:rFonts w:cstheme="minorHAnsi"/>
        </w:rPr>
        <w:t>».</w:t>
      </w:r>
    </w:p>
    <w:p w14:paraId="55B228A8" w14:textId="000E46F5" w:rsidR="00347C69" w:rsidRDefault="002D5D4E" w:rsidP="002D5D4E">
      <w:pPr>
        <w:jc w:val="both"/>
        <w:rPr>
          <w:rFonts w:cstheme="minorHAnsi"/>
        </w:rPr>
      </w:pPr>
      <w:r w:rsidRPr="002D5D4E">
        <w:rPr>
          <w:rFonts w:cstheme="minorHAnsi"/>
          <w:b/>
        </w:rPr>
        <w:t>Ospedali di Comunità.</w:t>
      </w:r>
      <w:r>
        <w:rPr>
          <w:rFonts w:cstheme="minorHAnsi"/>
        </w:rPr>
        <w:t xml:space="preserve"> </w:t>
      </w:r>
      <w:r w:rsidRPr="002D5D4E">
        <w:rPr>
          <w:rFonts w:cstheme="minorHAnsi"/>
        </w:rPr>
        <w:t xml:space="preserve">Entro giugno 2026 </w:t>
      </w:r>
      <w:r w:rsidR="00EA74AD">
        <w:rPr>
          <w:rFonts w:cstheme="minorHAnsi"/>
        </w:rPr>
        <w:t>dovrebbero</w:t>
      </w:r>
      <w:r w:rsidRPr="002D5D4E">
        <w:rPr>
          <w:rFonts w:cstheme="minorHAnsi"/>
        </w:rPr>
        <w:t xml:space="preserve"> essere </w:t>
      </w:r>
      <w:r w:rsidR="00EA74AD">
        <w:rPr>
          <w:rFonts w:cstheme="minorHAnsi"/>
        </w:rPr>
        <w:t>pienamente funzionanti</w:t>
      </w:r>
      <w:r w:rsidRPr="002D5D4E">
        <w:rPr>
          <w:rFonts w:cstheme="minorHAnsi"/>
        </w:rPr>
        <w:t xml:space="preserve"> almeno 307 Ospedali di Comunità</w:t>
      </w:r>
      <w:r w:rsidR="00607F2D">
        <w:rPr>
          <w:rFonts w:cstheme="minorHAnsi"/>
        </w:rPr>
        <w:t xml:space="preserve">, </w:t>
      </w:r>
      <w:r w:rsidR="00EA74AD">
        <w:rPr>
          <w:rFonts w:cstheme="minorHAnsi"/>
        </w:rPr>
        <w:t xml:space="preserve">le </w:t>
      </w:r>
      <w:r w:rsidR="00607F2D">
        <w:rPr>
          <w:rFonts w:cstheme="minorHAnsi"/>
        </w:rPr>
        <w:t>strutture intermedie</w:t>
      </w:r>
      <w:r w:rsidRPr="002D5D4E">
        <w:rPr>
          <w:rFonts w:cstheme="minorHAnsi"/>
        </w:rPr>
        <w:t xml:space="preserve"> </w:t>
      </w:r>
      <w:r w:rsidR="00567EA0" w:rsidRPr="002D5D4E">
        <w:rPr>
          <w:rFonts w:cstheme="minorHAnsi"/>
        </w:rPr>
        <w:t xml:space="preserve">per </w:t>
      </w:r>
      <w:r w:rsidR="00607F2D">
        <w:rPr>
          <w:rFonts w:cstheme="minorHAnsi"/>
        </w:rPr>
        <w:t xml:space="preserve">accogliere i pazienti </w:t>
      </w:r>
      <w:r w:rsidR="00442E83">
        <w:rPr>
          <w:rFonts w:cstheme="minorHAnsi"/>
        </w:rPr>
        <w:t>di</w:t>
      </w:r>
      <w:r w:rsidR="00607F2D">
        <w:rPr>
          <w:rFonts w:cstheme="minorHAnsi"/>
        </w:rPr>
        <w:t xml:space="preserve">messi </w:t>
      </w:r>
      <w:r w:rsidR="00567EA0">
        <w:rPr>
          <w:rFonts w:cstheme="minorHAnsi"/>
        </w:rPr>
        <w:t>dagli ospedali per acuti</w:t>
      </w:r>
      <w:r w:rsidRPr="002D5D4E">
        <w:rPr>
          <w:rFonts w:cstheme="minorHAnsi"/>
        </w:rPr>
        <w:t>. Ma al 20 dicembre 2024, solo 124</w:t>
      </w:r>
      <w:r w:rsidR="006B0B9D">
        <w:rPr>
          <w:rFonts w:cstheme="minorHAnsi"/>
        </w:rPr>
        <w:t xml:space="preserve"> strutture</w:t>
      </w:r>
      <w:r w:rsidRPr="002D5D4E">
        <w:rPr>
          <w:rFonts w:cstheme="minorHAnsi"/>
        </w:rPr>
        <w:t xml:space="preserve"> (40,4%) dichiara</w:t>
      </w:r>
      <w:r w:rsidR="006B0B9D">
        <w:rPr>
          <w:rFonts w:cstheme="minorHAnsi"/>
        </w:rPr>
        <w:t>va</w:t>
      </w:r>
      <w:r w:rsidRPr="002D5D4E">
        <w:rPr>
          <w:rFonts w:cstheme="minorHAnsi"/>
        </w:rPr>
        <w:t xml:space="preserve">no almeno un servizio attivo e </w:t>
      </w:r>
      <w:r w:rsidR="00C12E59">
        <w:rPr>
          <w:rFonts w:cstheme="minorHAnsi"/>
        </w:rPr>
        <w:t>non</w:t>
      </w:r>
      <w:r w:rsidR="00442E83">
        <w:rPr>
          <w:rFonts w:cstheme="minorHAnsi"/>
        </w:rPr>
        <w:t xml:space="preserve"> è riportata</w:t>
      </w:r>
      <w:r w:rsidR="002A57B1">
        <w:rPr>
          <w:rFonts w:cstheme="minorHAnsi"/>
        </w:rPr>
        <w:t xml:space="preserve"> alcuna </w:t>
      </w:r>
      <w:r w:rsidR="00C12E59">
        <w:rPr>
          <w:rFonts w:cstheme="minorHAnsi"/>
        </w:rPr>
        <w:t>informazion</w:t>
      </w:r>
      <w:r w:rsidR="002A57B1">
        <w:rPr>
          <w:rFonts w:cstheme="minorHAnsi"/>
        </w:rPr>
        <w:t>e</w:t>
      </w:r>
      <w:r w:rsidR="00C12E59">
        <w:rPr>
          <w:rFonts w:cstheme="minorHAnsi"/>
        </w:rPr>
        <w:t xml:space="preserve"> sul</w:t>
      </w:r>
      <w:r w:rsidR="002A57B1">
        <w:rPr>
          <w:rFonts w:cstheme="minorHAnsi"/>
        </w:rPr>
        <w:t xml:space="preserve"> </w:t>
      </w:r>
      <w:r w:rsidRPr="002D5D4E">
        <w:rPr>
          <w:rFonts w:cstheme="minorHAnsi"/>
        </w:rPr>
        <w:t>personale sanitario.</w:t>
      </w:r>
      <w:r w:rsidR="00113A2A">
        <w:rPr>
          <w:rFonts w:cstheme="minorHAnsi"/>
        </w:rPr>
        <w:t xml:space="preserve"> </w:t>
      </w:r>
      <w:r w:rsidRPr="002D5D4E">
        <w:rPr>
          <w:rFonts w:cstheme="minorHAnsi"/>
        </w:rPr>
        <w:t>«</w:t>
      </w:r>
      <w:r w:rsidR="00113A2A">
        <w:rPr>
          <w:rFonts w:cstheme="minorHAnsi"/>
        </w:rPr>
        <w:t xml:space="preserve">È </w:t>
      </w:r>
      <w:r w:rsidR="00B37E98">
        <w:rPr>
          <w:rFonts w:cstheme="minorHAnsi"/>
        </w:rPr>
        <w:t xml:space="preserve">evidente </w:t>
      </w:r>
      <w:r w:rsidR="002A57B1" w:rsidRPr="002D5D4E">
        <w:rPr>
          <w:rFonts w:cstheme="minorHAnsi"/>
        </w:rPr>
        <w:t>–</w:t>
      </w:r>
      <w:r w:rsidR="00113A2A">
        <w:rPr>
          <w:rFonts w:cstheme="minorHAnsi"/>
        </w:rPr>
        <w:t xml:space="preserve"> </w:t>
      </w:r>
      <w:r w:rsidR="00B37E98">
        <w:rPr>
          <w:rFonts w:cstheme="minorHAnsi"/>
        </w:rPr>
        <w:t xml:space="preserve">commenta il Presidente </w:t>
      </w:r>
      <w:r w:rsidR="002A57B1" w:rsidRPr="002D5D4E">
        <w:rPr>
          <w:rFonts w:cstheme="minorHAnsi"/>
        </w:rPr>
        <w:t>–</w:t>
      </w:r>
      <w:r w:rsidR="002A57B1">
        <w:rPr>
          <w:rFonts w:cstheme="minorHAnsi"/>
        </w:rPr>
        <w:t xml:space="preserve"> </w:t>
      </w:r>
      <w:r w:rsidR="00B37E98">
        <w:rPr>
          <w:rFonts w:cstheme="minorHAnsi"/>
        </w:rPr>
        <w:t xml:space="preserve">che l’attivazione degli </w:t>
      </w:r>
      <w:r w:rsidR="00B37E98" w:rsidRPr="002D5D4E">
        <w:rPr>
          <w:rFonts w:cstheme="minorHAnsi"/>
        </w:rPr>
        <w:t>Ospedali di Comunità</w:t>
      </w:r>
      <w:r w:rsidR="00567EA0">
        <w:rPr>
          <w:rFonts w:cstheme="minorHAnsi"/>
        </w:rPr>
        <w:t xml:space="preserve"> </w:t>
      </w:r>
      <w:r w:rsidR="00B37E98">
        <w:rPr>
          <w:rFonts w:cstheme="minorHAnsi"/>
        </w:rPr>
        <w:t xml:space="preserve">è ancora più </w:t>
      </w:r>
      <w:r w:rsidR="00567EA0">
        <w:rPr>
          <w:rFonts w:cstheme="minorHAnsi"/>
        </w:rPr>
        <w:t>in ritardo</w:t>
      </w:r>
      <w:r w:rsidR="00442E83">
        <w:rPr>
          <w:rFonts w:cstheme="minorHAnsi"/>
        </w:rPr>
        <w:t xml:space="preserve"> e </w:t>
      </w:r>
      <w:r w:rsidR="006B0B9D" w:rsidRPr="00347C69">
        <w:rPr>
          <w:rFonts w:cstheme="minorHAnsi"/>
        </w:rPr>
        <w:t>l’obiettivo di rafforzare le cure intermedie rischia di naufragare</w:t>
      </w:r>
      <w:r w:rsidRPr="002D5D4E">
        <w:rPr>
          <w:rFonts w:cstheme="minorHAnsi"/>
        </w:rPr>
        <w:t>».</w:t>
      </w:r>
      <w:r w:rsidR="00567EA0" w:rsidRPr="00567EA0">
        <w:rPr>
          <w:rFonts w:cstheme="minorHAnsi"/>
        </w:rPr>
        <w:t xml:space="preserve"> </w:t>
      </w:r>
    </w:p>
    <w:p w14:paraId="3D9FD09C" w14:textId="77777777" w:rsidR="00F74A63" w:rsidRPr="00FB4832" w:rsidRDefault="00F74A63" w:rsidP="00F74A63">
      <w:pPr>
        <w:jc w:val="both"/>
        <w:rPr>
          <w:rFonts w:cstheme="minorHAnsi"/>
        </w:rPr>
      </w:pPr>
      <w:r w:rsidRPr="00FB4832">
        <w:rPr>
          <w:rFonts w:cstheme="minorHAnsi"/>
          <w:b/>
          <w:bCs/>
        </w:rPr>
        <w:t>Posti letto in terapia intensiva e semi-intensiva</w:t>
      </w:r>
      <w:r>
        <w:rPr>
          <w:rFonts w:cstheme="minorHAnsi"/>
          <w:b/>
          <w:bCs/>
        </w:rPr>
        <w:t xml:space="preserve">. </w:t>
      </w:r>
      <w:r w:rsidRPr="00FB4832">
        <w:rPr>
          <w:rFonts w:cstheme="minorHAnsi"/>
        </w:rPr>
        <w:t>Il PNRR prevede l’attivazione</w:t>
      </w:r>
      <w:r>
        <w:rPr>
          <w:rFonts w:cstheme="minorHAnsi"/>
        </w:rPr>
        <w:t>, entro giugno 2026,</w:t>
      </w:r>
      <w:r w:rsidRPr="00FB4832">
        <w:rPr>
          <w:rFonts w:cstheme="minorHAnsi"/>
        </w:rPr>
        <w:t xml:space="preserve"> di 2.692 posti letto di terapia intensiva e 3.230 di semi-intensiva. </w:t>
      </w:r>
      <w:r>
        <w:rPr>
          <w:rFonts w:cstheme="minorHAnsi"/>
        </w:rPr>
        <w:t>Tuttavia,</w:t>
      </w:r>
      <w:r w:rsidRPr="00FB4832">
        <w:rPr>
          <w:rFonts w:cstheme="minorHAnsi"/>
        </w:rPr>
        <w:t xml:space="preserve"> al 21 marzo 2025, risultano attivati solo 890 letti di terapia intensiva (33,1%) e 1</w:t>
      </w:r>
      <w:r>
        <w:rPr>
          <w:rFonts w:cstheme="minorHAnsi"/>
        </w:rPr>
        <w:t xml:space="preserve">.199 di semi-intensiva (37,1%). </w:t>
      </w:r>
      <w:r w:rsidRPr="00563610">
        <w:rPr>
          <w:rFonts w:cstheme="minorHAnsi"/>
          <w:iCs/>
        </w:rPr>
        <w:t>«</w:t>
      </w:r>
      <w:r w:rsidRPr="006B0B9D">
        <w:rPr>
          <w:rFonts w:cstheme="minorHAnsi"/>
        </w:rPr>
        <w:t>È</w:t>
      </w:r>
      <w:r>
        <w:rPr>
          <w:rFonts w:cstheme="minorHAnsi"/>
          <w:iCs/>
        </w:rPr>
        <w:t xml:space="preserve"> surreale </w:t>
      </w:r>
      <w:r w:rsidRPr="00563610">
        <w:rPr>
          <w:rFonts w:cstheme="minorHAnsi"/>
          <w:iCs/>
        </w:rPr>
        <w:t xml:space="preserve">– </w:t>
      </w:r>
      <w:r>
        <w:rPr>
          <w:rFonts w:cstheme="minorHAnsi"/>
          <w:iCs/>
        </w:rPr>
        <w:t xml:space="preserve">chiosa il Presidente </w:t>
      </w:r>
      <w:r w:rsidRPr="00563610">
        <w:rPr>
          <w:rFonts w:cstheme="minorHAnsi"/>
          <w:iCs/>
        </w:rPr>
        <w:t xml:space="preserve">– </w:t>
      </w:r>
      <w:r>
        <w:rPr>
          <w:rFonts w:cstheme="minorHAnsi"/>
          <w:iCs/>
        </w:rPr>
        <w:t xml:space="preserve">che, nonostante la drastica revisione al ribasso degli obiettivi iniziali, a cinque anni dalla pandemia l’Italia non sia ancora riuscita a completare un’infrastruttura essenziale per </w:t>
      </w:r>
      <w:r w:rsidRPr="00563610">
        <w:rPr>
          <w:rFonts w:cstheme="minorHAnsi"/>
          <w:iCs/>
        </w:rPr>
        <w:t>fronte</w:t>
      </w:r>
      <w:r>
        <w:rPr>
          <w:rFonts w:cstheme="minorHAnsi"/>
          <w:iCs/>
        </w:rPr>
        <w:t>ggiare</w:t>
      </w:r>
      <w:r w:rsidRPr="00563610">
        <w:rPr>
          <w:rFonts w:cstheme="minorHAnsi"/>
          <w:iCs/>
        </w:rPr>
        <w:t xml:space="preserve"> </w:t>
      </w:r>
      <w:r>
        <w:rPr>
          <w:rFonts w:cstheme="minorHAnsi"/>
          <w:iCs/>
        </w:rPr>
        <w:t>future</w:t>
      </w:r>
      <w:r w:rsidRPr="00563610">
        <w:rPr>
          <w:rFonts w:cstheme="minorHAnsi"/>
          <w:iCs/>
        </w:rPr>
        <w:t xml:space="preserve"> emergenze sanitarie».</w:t>
      </w:r>
    </w:p>
    <w:p w14:paraId="126DACE6" w14:textId="2433CDDE" w:rsidR="00E657D9" w:rsidRDefault="002D5D4E" w:rsidP="00AE62B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TARGET</w:t>
      </w:r>
      <w:r w:rsidRPr="00D23E0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CON</w:t>
      </w:r>
      <w:r w:rsidR="00D26484">
        <w:rPr>
          <w:rFonts w:cstheme="minorHAnsi"/>
          <w:b/>
          <w:bCs/>
        </w:rPr>
        <w:t xml:space="preserve"> RITARDI</w:t>
      </w:r>
      <w:r w:rsidR="00481DC1">
        <w:rPr>
          <w:rFonts w:cstheme="minorHAnsi"/>
          <w:b/>
          <w:bCs/>
        </w:rPr>
        <w:t xml:space="preserve"> SIGNIFICATIVI</w:t>
      </w:r>
      <w:r w:rsidR="00D26484" w:rsidRPr="00D26484">
        <w:rPr>
          <w:rFonts w:cstheme="minorHAnsi"/>
          <w:b/>
          <w:bCs/>
          <w:color w:val="FF0000"/>
        </w:rPr>
        <w:t xml:space="preserve"> </w:t>
      </w:r>
      <w:r w:rsidR="00D26484">
        <w:rPr>
          <w:rFonts w:cstheme="minorHAnsi"/>
          <w:b/>
          <w:bCs/>
        </w:rPr>
        <w:t xml:space="preserve">(N. </w:t>
      </w:r>
      <w:r w:rsidR="00F74A63">
        <w:rPr>
          <w:rFonts w:cstheme="minorHAnsi"/>
          <w:b/>
          <w:bCs/>
        </w:rPr>
        <w:t>2</w:t>
      </w:r>
      <w:r w:rsidR="00D26484">
        <w:rPr>
          <w:rFonts w:cstheme="minorHAnsi"/>
          <w:b/>
          <w:bCs/>
        </w:rPr>
        <w:t>)</w:t>
      </w:r>
      <w:r w:rsidR="005A5DB5">
        <w:rPr>
          <w:rFonts w:cstheme="minorHAnsi"/>
          <w:b/>
          <w:bCs/>
        </w:rPr>
        <w:t xml:space="preserve">. </w:t>
      </w:r>
      <w:r w:rsidR="005A5DB5" w:rsidRPr="005A5DB5">
        <w:rPr>
          <w:rFonts w:cstheme="minorHAnsi"/>
          <w:bCs/>
        </w:rPr>
        <w:t xml:space="preserve">Nonostante </w:t>
      </w:r>
      <w:r w:rsidR="00900FB3">
        <w:rPr>
          <w:rFonts w:cstheme="minorHAnsi"/>
          <w:bCs/>
        </w:rPr>
        <w:t>gli</w:t>
      </w:r>
      <w:r w:rsidR="005A5DB5" w:rsidRPr="005A5DB5">
        <w:rPr>
          <w:rFonts w:cstheme="minorHAnsi"/>
          <w:bCs/>
        </w:rPr>
        <w:t xml:space="preserve"> avanzamenti, </w:t>
      </w:r>
      <w:r w:rsidR="00805365">
        <w:rPr>
          <w:rFonts w:cstheme="minorHAnsi"/>
          <w:bCs/>
        </w:rPr>
        <w:t xml:space="preserve">altri </w:t>
      </w:r>
      <w:r w:rsidR="00F74A63">
        <w:rPr>
          <w:rFonts w:cstheme="minorHAnsi"/>
          <w:bCs/>
        </w:rPr>
        <w:t>2</w:t>
      </w:r>
      <w:r w:rsidR="00900FB3">
        <w:rPr>
          <w:rFonts w:cstheme="minorHAnsi"/>
          <w:bCs/>
        </w:rPr>
        <w:t xml:space="preserve"> </w:t>
      </w:r>
      <w:r w:rsidR="005A5DB5">
        <w:rPr>
          <w:rFonts w:cstheme="minorHAnsi"/>
          <w:bCs/>
        </w:rPr>
        <w:t>target</w:t>
      </w:r>
      <w:r w:rsidR="00FB4832">
        <w:rPr>
          <w:rFonts w:cstheme="minorHAnsi"/>
          <w:bCs/>
        </w:rPr>
        <w:t xml:space="preserve"> </w:t>
      </w:r>
      <w:r w:rsidR="006B0B9D">
        <w:rPr>
          <w:rFonts w:cstheme="minorHAnsi"/>
          <w:bCs/>
        </w:rPr>
        <w:t>mostrano</w:t>
      </w:r>
      <w:r w:rsidR="006B0B9D" w:rsidRPr="005A5DB5">
        <w:rPr>
          <w:rFonts w:cstheme="minorHAnsi"/>
          <w:bCs/>
        </w:rPr>
        <w:t xml:space="preserve"> </w:t>
      </w:r>
      <w:r w:rsidR="00607F2D">
        <w:rPr>
          <w:rFonts w:cstheme="minorHAnsi"/>
          <w:bCs/>
        </w:rPr>
        <w:t>ritardi sulla tabella di marcia</w:t>
      </w:r>
      <w:r w:rsidR="002A57B1">
        <w:rPr>
          <w:rFonts w:cstheme="minorHAnsi"/>
          <w:bCs/>
        </w:rPr>
        <w:t>.</w:t>
      </w:r>
    </w:p>
    <w:p w14:paraId="1ADF2666" w14:textId="58EAD251" w:rsidR="006B0B9D" w:rsidRDefault="00FB4832" w:rsidP="006B0B9D">
      <w:pPr>
        <w:jc w:val="both"/>
        <w:rPr>
          <w:rFonts w:cstheme="minorHAnsi"/>
        </w:rPr>
      </w:pPr>
      <w:r w:rsidRPr="00FB4832">
        <w:rPr>
          <w:rFonts w:cstheme="minorHAnsi"/>
          <w:b/>
          <w:bCs/>
        </w:rPr>
        <w:lastRenderedPageBreak/>
        <w:t xml:space="preserve">Interventi </w:t>
      </w:r>
      <w:r w:rsidR="001F4E35">
        <w:rPr>
          <w:rFonts w:cstheme="minorHAnsi"/>
          <w:b/>
          <w:bCs/>
        </w:rPr>
        <w:t xml:space="preserve">di </w:t>
      </w:r>
      <w:r w:rsidRPr="00FB4832">
        <w:rPr>
          <w:rFonts w:cstheme="minorHAnsi"/>
          <w:b/>
          <w:bCs/>
        </w:rPr>
        <w:t>antisismic</w:t>
      </w:r>
      <w:r w:rsidR="001F4E35">
        <w:rPr>
          <w:rFonts w:cstheme="minorHAnsi"/>
          <w:b/>
          <w:bCs/>
        </w:rPr>
        <w:t>a</w:t>
      </w:r>
      <w:r w:rsidR="00563610">
        <w:rPr>
          <w:rFonts w:cstheme="minorHAnsi"/>
          <w:b/>
          <w:bCs/>
        </w:rPr>
        <w:t xml:space="preserve">. </w:t>
      </w:r>
      <w:r w:rsidRPr="00FB4832">
        <w:rPr>
          <w:rFonts w:cstheme="minorHAnsi"/>
        </w:rPr>
        <w:t xml:space="preserve">Per </w:t>
      </w:r>
      <w:r w:rsidR="006B0B9D">
        <w:rPr>
          <w:rFonts w:cstheme="minorHAnsi"/>
        </w:rPr>
        <w:t>mettere in sicurezza</w:t>
      </w:r>
      <w:r w:rsidRPr="00FB4832">
        <w:rPr>
          <w:rFonts w:cstheme="minorHAnsi"/>
        </w:rPr>
        <w:t xml:space="preserve"> almeno 84 ospedali, il PNRR ha finanziato interventi antisismici in </w:t>
      </w:r>
      <w:r w:rsidR="006B0B9D">
        <w:rPr>
          <w:rFonts w:cstheme="minorHAnsi"/>
        </w:rPr>
        <w:t>tutto il Paese</w:t>
      </w:r>
      <w:r w:rsidRPr="00FB4832">
        <w:rPr>
          <w:rFonts w:cstheme="minorHAnsi"/>
        </w:rPr>
        <w:t>. A febbraio 2025 risulta</w:t>
      </w:r>
      <w:r w:rsidR="006B0B9D">
        <w:rPr>
          <w:rFonts w:cstheme="minorHAnsi"/>
        </w:rPr>
        <w:t>va</w:t>
      </w:r>
      <w:r w:rsidRPr="00FB4832">
        <w:rPr>
          <w:rFonts w:cstheme="minorHAnsi"/>
        </w:rPr>
        <w:t>no attivi o conclusi 86 cantieri, ma la spesa effettiva</w:t>
      </w:r>
      <w:r w:rsidR="006B0B9D">
        <w:rPr>
          <w:rFonts w:cstheme="minorHAnsi"/>
        </w:rPr>
        <w:t>mente sostenuta</w:t>
      </w:r>
      <w:r w:rsidRPr="00FB4832">
        <w:rPr>
          <w:rFonts w:cstheme="minorHAnsi"/>
        </w:rPr>
        <w:t xml:space="preserve"> </w:t>
      </w:r>
      <w:r w:rsidR="002C0E51">
        <w:rPr>
          <w:rFonts w:cstheme="minorHAnsi"/>
        </w:rPr>
        <w:t>era</w:t>
      </w:r>
      <w:r w:rsidR="002C0E51" w:rsidRPr="00FB4832">
        <w:rPr>
          <w:rFonts w:cstheme="minorHAnsi"/>
        </w:rPr>
        <w:t xml:space="preserve"> </w:t>
      </w:r>
      <w:r w:rsidRPr="00FB4832">
        <w:rPr>
          <w:rFonts w:cstheme="minorHAnsi"/>
        </w:rPr>
        <w:t>ferma all’11% del totale, con una media ancora più bassa nel Me</w:t>
      </w:r>
      <w:r w:rsidR="00563610">
        <w:rPr>
          <w:rFonts w:cstheme="minorHAnsi"/>
        </w:rPr>
        <w:t>zzogiorno (6%).</w:t>
      </w:r>
    </w:p>
    <w:p w14:paraId="23E35194" w14:textId="4AF5F4F6" w:rsidR="00E30E54" w:rsidRPr="00E30E54" w:rsidRDefault="00567EA0" w:rsidP="00AE62B4">
      <w:pPr>
        <w:jc w:val="both"/>
        <w:rPr>
          <w:rFonts w:cstheme="minorHAnsi"/>
          <w:iCs/>
        </w:rPr>
      </w:pPr>
      <w:r w:rsidRPr="00E30E54">
        <w:rPr>
          <w:rFonts w:cstheme="minorHAnsi"/>
          <w:b/>
          <w:bCs/>
        </w:rPr>
        <w:t xml:space="preserve">Adozione del </w:t>
      </w:r>
      <w:r w:rsidR="00E30E54" w:rsidRPr="00E30E54">
        <w:rPr>
          <w:rFonts w:cstheme="minorHAnsi"/>
          <w:b/>
          <w:bCs/>
        </w:rPr>
        <w:t>FSE</w:t>
      </w:r>
      <w:r w:rsidR="00E30E54">
        <w:rPr>
          <w:rFonts w:cstheme="minorHAnsi"/>
          <w:b/>
          <w:bCs/>
        </w:rPr>
        <w:t xml:space="preserve"> </w:t>
      </w:r>
      <w:r w:rsidRPr="00E30E54">
        <w:rPr>
          <w:rFonts w:cstheme="minorHAnsi"/>
          <w:b/>
          <w:bCs/>
        </w:rPr>
        <w:t>in tutte le Regioni.</w:t>
      </w:r>
      <w:r w:rsidRPr="00E30E54">
        <w:rPr>
          <w:rFonts w:cstheme="minorHAnsi"/>
        </w:rPr>
        <w:t xml:space="preserve"> Entro giugno 2026, tutte le Regioni dovrebbero adottare e utilizzare il FSE. </w:t>
      </w:r>
      <w:r w:rsidR="006B0B9D" w:rsidRPr="00E30E54">
        <w:rPr>
          <w:rFonts w:cstheme="minorHAnsi"/>
        </w:rPr>
        <w:t>Tuttavia, a</w:t>
      </w:r>
      <w:r w:rsidRPr="00E30E54">
        <w:rPr>
          <w:rFonts w:cstheme="minorHAnsi"/>
        </w:rPr>
        <w:t xml:space="preserve"> marzo 2025 solo 6 documenti su </w:t>
      </w:r>
      <w:r w:rsidR="00B0424C" w:rsidRPr="00E30E54">
        <w:rPr>
          <w:rFonts w:cstheme="minorHAnsi"/>
        </w:rPr>
        <w:t>16</w:t>
      </w:r>
      <w:r w:rsidRPr="00E30E54">
        <w:rPr>
          <w:rFonts w:cstheme="minorHAnsi"/>
        </w:rPr>
        <w:t xml:space="preserve"> </w:t>
      </w:r>
      <w:r w:rsidR="006B0B9D" w:rsidRPr="00E30E54">
        <w:rPr>
          <w:rFonts w:cstheme="minorHAnsi"/>
        </w:rPr>
        <w:t xml:space="preserve">risultano </w:t>
      </w:r>
      <w:r w:rsidRPr="00E30E54">
        <w:rPr>
          <w:rFonts w:cstheme="minorHAnsi"/>
        </w:rPr>
        <w:t xml:space="preserve">disponibili </w:t>
      </w:r>
      <w:r w:rsidR="00AE5BA2" w:rsidRPr="00E30E54">
        <w:rPr>
          <w:rFonts w:cstheme="minorHAnsi"/>
        </w:rPr>
        <w:t>in tutte le Regioni</w:t>
      </w:r>
      <w:r w:rsidR="006550CE">
        <w:rPr>
          <w:rFonts w:cstheme="minorHAnsi"/>
        </w:rPr>
        <w:t xml:space="preserve"> </w:t>
      </w:r>
      <w:r w:rsidR="006550CE" w:rsidRPr="00B0424C">
        <w:t>(lettera di dimissione ospedaliera, referti di laboratorio e di radiologia, prescrizione farmaceutica e specialistica e verbale di pronto soccorso</w:t>
      </w:r>
      <w:r w:rsidR="006550CE">
        <w:t>)</w:t>
      </w:r>
      <w:r w:rsidR="00812E87" w:rsidRPr="00E30E54">
        <w:rPr>
          <w:rFonts w:cstheme="minorHAnsi"/>
        </w:rPr>
        <w:t>.</w:t>
      </w:r>
      <w:r w:rsidRPr="00E30E54">
        <w:rPr>
          <w:rFonts w:cstheme="minorHAnsi"/>
        </w:rPr>
        <w:t xml:space="preserve"> </w:t>
      </w:r>
      <w:r w:rsidR="00EC38DB" w:rsidRPr="00E30E54">
        <w:rPr>
          <w:rFonts w:cstheme="minorHAnsi"/>
        </w:rPr>
        <w:t>Inoltre, solo il 42% dei cittadini</w:t>
      </w:r>
      <w:r w:rsidR="00EC38DB" w:rsidRPr="00E30E54">
        <w:rPr>
          <w:rFonts w:cstheme="minorHAnsi"/>
          <w:iCs/>
        </w:rPr>
        <w:t xml:space="preserve"> ha fornito il </w:t>
      </w:r>
      <w:r w:rsidR="00EC38DB" w:rsidRPr="00E30E54">
        <w:rPr>
          <w:rFonts w:cstheme="minorHAnsi"/>
        </w:rPr>
        <w:t xml:space="preserve">consenso alla consultazione dei propri dati. </w:t>
      </w:r>
      <w:r w:rsidRPr="00E30E54">
        <w:rPr>
          <w:rFonts w:cstheme="minorHAnsi"/>
          <w:iCs/>
        </w:rPr>
        <w:t>«</w:t>
      </w:r>
      <w:r w:rsidR="00E922E2" w:rsidRPr="00E30E54">
        <w:rPr>
          <w:rFonts w:cstheme="minorHAnsi"/>
          <w:iCs/>
        </w:rPr>
        <w:t xml:space="preserve">Senza </w:t>
      </w:r>
      <w:r w:rsidR="00B3318C" w:rsidRPr="00E30E54">
        <w:rPr>
          <w:rFonts w:cstheme="minorHAnsi"/>
          <w:iCs/>
        </w:rPr>
        <w:t xml:space="preserve">informare i cittadini </w:t>
      </w:r>
      <w:r w:rsidR="00E922E2" w:rsidRPr="00E30E54">
        <w:rPr>
          <w:rFonts w:cstheme="minorHAnsi"/>
          <w:iCs/>
        </w:rPr>
        <w:t xml:space="preserve">sull’utilità del FSE – avverte Cartabellotta – </w:t>
      </w:r>
      <w:r w:rsidR="00B3318C" w:rsidRPr="00E30E54">
        <w:rPr>
          <w:rFonts w:cstheme="minorHAnsi"/>
          <w:iCs/>
        </w:rPr>
        <w:t xml:space="preserve">e </w:t>
      </w:r>
      <w:r w:rsidR="00AE5BA2" w:rsidRPr="00E30E54">
        <w:rPr>
          <w:rFonts w:cstheme="minorHAnsi"/>
          <w:iCs/>
        </w:rPr>
        <w:t>rassicurar</w:t>
      </w:r>
      <w:r w:rsidR="00B3318C" w:rsidRPr="00E30E54">
        <w:rPr>
          <w:rFonts w:cstheme="minorHAnsi"/>
          <w:iCs/>
        </w:rPr>
        <w:t>li</w:t>
      </w:r>
      <w:r w:rsidR="00AE5BA2" w:rsidRPr="00E30E54">
        <w:rPr>
          <w:rFonts w:cstheme="minorHAnsi"/>
          <w:iCs/>
        </w:rPr>
        <w:t xml:space="preserve"> sulla sicurezza dei dati</w:t>
      </w:r>
      <w:r w:rsidR="00B3318C" w:rsidRPr="00E30E54">
        <w:rPr>
          <w:rFonts w:cstheme="minorHAnsi"/>
          <w:iCs/>
        </w:rPr>
        <w:t xml:space="preserve">, </w:t>
      </w:r>
      <w:r w:rsidR="00E30E54" w:rsidRPr="00E30E54">
        <w:rPr>
          <w:rFonts w:cstheme="minorHAnsi"/>
          <w:iCs/>
        </w:rPr>
        <w:t xml:space="preserve">nonostante </w:t>
      </w:r>
      <w:r w:rsidR="00AE5BA2" w:rsidRPr="00E30E54">
        <w:rPr>
          <w:rFonts w:cstheme="minorHAnsi"/>
          <w:iCs/>
        </w:rPr>
        <w:t xml:space="preserve">il </w:t>
      </w:r>
      <w:r w:rsidR="00E922E2" w:rsidRPr="00E30E54">
        <w:rPr>
          <w:rFonts w:cstheme="minorHAnsi"/>
          <w:iCs/>
        </w:rPr>
        <w:t xml:space="preserve">raggiungimento del target PNRR </w:t>
      </w:r>
      <w:r w:rsidR="00E30E54" w:rsidRPr="00E30E54">
        <w:rPr>
          <w:rFonts w:cstheme="minorHAnsi"/>
          <w:iCs/>
        </w:rPr>
        <w:t xml:space="preserve">le potenzialità </w:t>
      </w:r>
      <w:r w:rsidR="009E159F">
        <w:rPr>
          <w:rFonts w:cstheme="minorHAnsi"/>
          <w:iCs/>
        </w:rPr>
        <w:t>di questo strumento</w:t>
      </w:r>
      <w:r w:rsidR="00E30E54" w:rsidRPr="00E30E54">
        <w:rPr>
          <w:rFonts w:cstheme="minorHAnsi"/>
          <w:iCs/>
        </w:rPr>
        <w:t xml:space="preserve"> </w:t>
      </w:r>
      <w:r w:rsidR="00AE5BA2" w:rsidRPr="00E30E54">
        <w:rPr>
          <w:rFonts w:cstheme="minorHAnsi"/>
          <w:iCs/>
        </w:rPr>
        <w:t>rischia</w:t>
      </w:r>
      <w:r w:rsidR="00E30E54" w:rsidRPr="00E30E54">
        <w:rPr>
          <w:rFonts w:cstheme="minorHAnsi"/>
          <w:iCs/>
        </w:rPr>
        <w:t>no</w:t>
      </w:r>
      <w:r w:rsidR="00AE5BA2" w:rsidRPr="00E30E54">
        <w:rPr>
          <w:rFonts w:cstheme="minorHAnsi"/>
          <w:iCs/>
        </w:rPr>
        <w:t xml:space="preserve"> di </w:t>
      </w:r>
      <w:r w:rsidR="006B0B9D" w:rsidRPr="00E30E54">
        <w:rPr>
          <w:rFonts w:cstheme="minorHAnsi"/>
          <w:iCs/>
        </w:rPr>
        <w:t xml:space="preserve">essere </w:t>
      </w:r>
      <w:r w:rsidR="006B1AA0" w:rsidRPr="00E30E54">
        <w:rPr>
          <w:rFonts w:cstheme="minorHAnsi"/>
          <w:iCs/>
        </w:rPr>
        <w:t>vanificat</w:t>
      </w:r>
      <w:r w:rsidR="009E159F">
        <w:rPr>
          <w:rFonts w:cstheme="minorHAnsi"/>
          <w:iCs/>
        </w:rPr>
        <w:t>e</w:t>
      </w:r>
      <w:r w:rsidR="006B1AA0" w:rsidRPr="00E30E54">
        <w:rPr>
          <w:rFonts w:cstheme="minorHAnsi"/>
          <w:iCs/>
        </w:rPr>
        <w:t xml:space="preserve"> dal </w:t>
      </w:r>
      <w:r w:rsidR="00EC38DB" w:rsidRPr="00E30E54">
        <w:rPr>
          <w:rFonts w:cstheme="minorHAnsi"/>
          <w:iCs/>
        </w:rPr>
        <w:t>mancato consenso</w:t>
      </w:r>
      <w:r w:rsidR="00E30E54" w:rsidRPr="00E30E54">
        <w:rPr>
          <w:rFonts w:cstheme="minorHAnsi"/>
          <w:iCs/>
        </w:rPr>
        <w:t xml:space="preserve"> dei cittadini</w:t>
      </w:r>
      <w:r w:rsidRPr="00E30E54">
        <w:rPr>
          <w:rFonts w:cstheme="minorHAnsi"/>
          <w:iCs/>
        </w:rPr>
        <w:t>»</w:t>
      </w:r>
      <w:r w:rsidR="00AE5BA2" w:rsidRPr="00E30E54">
        <w:rPr>
          <w:rFonts w:cstheme="minorHAnsi"/>
          <w:iCs/>
        </w:rPr>
        <w:t xml:space="preserve">. </w:t>
      </w:r>
    </w:p>
    <w:p w14:paraId="2841B512" w14:textId="7125AA68" w:rsidR="00D23E01" w:rsidRPr="002B2760" w:rsidRDefault="002D5D4E" w:rsidP="00AE62B4">
      <w:pPr>
        <w:jc w:val="both"/>
        <w:rPr>
          <w:rFonts w:cstheme="minorHAnsi"/>
        </w:rPr>
      </w:pPr>
      <w:r>
        <w:rPr>
          <w:rFonts w:cstheme="minorHAnsi"/>
          <w:b/>
          <w:bCs/>
        </w:rPr>
        <w:t>TARGET</w:t>
      </w:r>
      <w:r w:rsidRPr="00D23E0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 VIA</w:t>
      </w:r>
      <w:r w:rsidRPr="00D23E01">
        <w:rPr>
          <w:rFonts w:cstheme="minorHAnsi"/>
          <w:b/>
          <w:bCs/>
        </w:rPr>
        <w:t xml:space="preserve"> DI COMPLETAMENTO</w:t>
      </w:r>
      <w:r>
        <w:rPr>
          <w:rFonts w:cstheme="minorHAnsi"/>
          <w:b/>
          <w:bCs/>
        </w:rPr>
        <w:t xml:space="preserve"> O GIÀ COMPLETAT</w:t>
      </w:r>
      <w:r w:rsidR="002A57B1">
        <w:rPr>
          <w:rFonts w:cstheme="minorHAnsi"/>
          <w:b/>
          <w:bCs/>
        </w:rPr>
        <w:t>I</w:t>
      </w:r>
      <w:r w:rsidR="00D26484">
        <w:rPr>
          <w:rFonts w:cstheme="minorHAnsi"/>
          <w:b/>
          <w:bCs/>
        </w:rPr>
        <w:t xml:space="preserve"> (N. </w:t>
      </w:r>
      <w:r w:rsidR="00DB68FC">
        <w:rPr>
          <w:rFonts w:cstheme="minorHAnsi"/>
          <w:b/>
          <w:bCs/>
        </w:rPr>
        <w:t>4</w:t>
      </w:r>
      <w:r w:rsidR="00D26484">
        <w:rPr>
          <w:rFonts w:cstheme="minorHAnsi"/>
          <w:b/>
          <w:bCs/>
        </w:rPr>
        <w:t>)</w:t>
      </w:r>
      <w:r w:rsidR="00267117" w:rsidRPr="002B2760">
        <w:rPr>
          <w:rFonts w:cstheme="minorHAnsi"/>
        </w:rPr>
        <w:t xml:space="preserve">. </w:t>
      </w:r>
      <w:r w:rsidR="00D26484">
        <w:rPr>
          <w:rFonts w:cstheme="minorHAnsi"/>
        </w:rPr>
        <w:t>R</w:t>
      </w:r>
      <w:r w:rsidR="00267117" w:rsidRPr="002B2760">
        <w:rPr>
          <w:rFonts w:cstheme="minorHAnsi"/>
        </w:rPr>
        <w:t>isultano in fase avanzata di attuazione</w:t>
      </w:r>
      <w:r w:rsidR="00F87369">
        <w:rPr>
          <w:rFonts w:cstheme="minorHAnsi"/>
        </w:rPr>
        <w:t xml:space="preserve"> o </w:t>
      </w:r>
      <w:r w:rsidR="00F87369" w:rsidRPr="002B2760">
        <w:rPr>
          <w:rFonts w:cstheme="minorHAnsi"/>
        </w:rPr>
        <w:t>completat</w:t>
      </w:r>
      <w:r w:rsidR="00F87369">
        <w:rPr>
          <w:rFonts w:cstheme="minorHAnsi"/>
        </w:rPr>
        <w:t>i</w:t>
      </w:r>
      <w:r w:rsidR="00F87369" w:rsidRPr="002B2760">
        <w:rPr>
          <w:rFonts w:cstheme="minorHAnsi"/>
        </w:rPr>
        <w:t xml:space="preserve"> </w:t>
      </w:r>
      <w:r w:rsidR="00F87369">
        <w:rPr>
          <w:rFonts w:cstheme="minorHAnsi"/>
        </w:rPr>
        <w:t>in anticipo</w:t>
      </w:r>
      <w:r w:rsidR="00D26484">
        <w:rPr>
          <w:rFonts w:cstheme="minorHAnsi"/>
        </w:rPr>
        <w:t xml:space="preserve"> </w:t>
      </w:r>
      <w:r w:rsidR="00F74A63">
        <w:rPr>
          <w:rFonts w:cstheme="minorHAnsi"/>
        </w:rPr>
        <w:t xml:space="preserve">quattro </w:t>
      </w:r>
      <w:r w:rsidR="00D26484">
        <w:rPr>
          <w:rFonts w:cstheme="minorHAnsi"/>
        </w:rPr>
        <w:t>target</w:t>
      </w:r>
      <w:r w:rsidR="009E159F">
        <w:rPr>
          <w:rFonts w:cstheme="minorHAnsi"/>
        </w:rPr>
        <w:t>.</w:t>
      </w:r>
    </w:p>
    <w:p w14:paraId="0F43A878" w14:textId="45581B04" w:rsidR="00DB68FC" w:rsidRPr="00EC38DB" w:rsidRDefault="00DB68FC" w:rsidP="00DB68FC">
      <w:pPr>
        <w:pStyle w:val="Normale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sz w:val="22"/>
          <w:szCs w:val="22"/>
        </w:rPr>
        <w:t>P</w:t>
      </w:r>
      <w:r w:rsidRPr="00B21DAE">
        <w:rPr>
          <w:rStyle w:val="Enfasigrassetto"/>
          <w:rFonts w:asciiTheme="minorHAnsi" w:hAnsiTheme="minorHAnsi" w:cstheme="minorHAnsi"/>
          <w:sz w:val="22"/>
          <w:szCs w:val="22"/>
        </w:rPr>
        <w:t xml:space="preserve">rogetti </w:t>
      </w:r>
      <w:r w:rsidRPr="002A57B1">
        <w:rPr>
          <w:rStyle w:val="Enfasigrassetto"/>
          <w:rFonts w:asciiTheme="minorHAnsi" w:hAnsiTheme="minorHAnsi" w:cstheme="minorHAnsi"/>
          <w:sz w:val="22"/>
          <w:szCs w:val="22"/>
        </w:rPr>
        <w:t xml:space="preserve">di ristrutturazione e ammodernamento degli ospedali </w:t>
      </w:r>
      <w:r>
        <w:rPr>
          <w:rStyle w:val="Enfasigrassetto"/>
          <w:rFonts w:asciiTheme="minorHAnsi" w:hAnsiTheme="minorHAnsi" w:cstheme="minorHAnsi"/>
          <w:sz w:val="22"/>
          <w:szCs w:val="22"/>
        </w:rPr>
        <w:t>(</w:t>
      </w:r>
      <w:r w:rsidRPr="00B21DAE">
        <w:rPr>
          <w:rStyle w:val="Enfasigrassetto"/>
          <w:rFonts w:asciiTheme="minorHAnsi" w:hAnsiTheme="minorHAnsi" w:cstheme="minorHAnsi"/>
          <w:sz w:val="22"/>
          <w:szCs w:val="22"/>
        </w:rPr>
        <w:t>ex art. 20</w:t>
      </w:r>
      <w:r>
        <w:rPr>
          <w:rStyle w:val="Enfasigrassetto"/>
          <w:rFonts w:asciiTheme="minorHAnsi" w:hAnsiTheme="minorHAnsi" w:cstheme="minorHAnsi"/>
          <w:sz w:val="22"/>
          <w:szCs w:val="22"/>
        </w:rPr>
        <w:t>)</w:t>
      </w:r>
      <w:r w:rsidRPr="00B21DAE">
        <w:rPr>
          <w:rStyle w:val="Enfasigrassetto"/>
          <w:rFonts w:asciiTheme="minorHAnsi" w:hAnsiTheme="minorHAnsi" w:cstheme="minorHAnsi"/>
          <w:sz w:val="22"/>
          <w:szCs w:val="22"/>
        </w:rPr>
        <w:t>: erogazione di almeno il 90% di € 250 milioni</w:t>
      </w:r>
      <w:r>
        <w:rPr>
          <w:rFonts w:asciiTheme="minorHAnsi" w:hAnsiTheme="minorHAnsi" w:cstheme="minorHAnsi"/>
          <w:sz w:val="22"/>
          <w:szCs w:val="22"/>
        </w:rPr>
        <w:t>. Al</w:t>
      </w:r>
      <w:r w:rsidRPr="00B21DAE">
        <w:rPr>
          <w:rFonts w:asciiTheme="minorHAnsi" w:hAnsiTheme="minorHAnsi" w:cstheme="minorHAnsi"/>
          <w:sz w:val="22"/>
          <w:szCs w:val="22"/>
        </w:rPr>
        <w:t xml:space="preserve"> 21 marzo 2025, risultano finanziati 127 progetti per un totale di € 458,1 milioni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21DAE">
        <w:rPr>
          <w:rStyle w:val="Enfasicorsivo"/>
          <w:rFonts w:asciiTheme="minorHAnsi" w:hAnsiTheme="minorHAnsi" w:cstheme="minorHAnsi"/>
          <w:i w:val="0"/>
          <w:sz w:val="22"/>
          <w:szCs w:val="22"/>
        </w:rPr>
        <w:t xml:space="preserve">«Il superamento della soglia </w:t>
      </w:r>
      <w:r>
        <w:rPr>
          <w:rStyle w:val="Enfasicorsivo"/>
          <w:rFonts w:asciiTheme="minorHAnsi" w:hAnsiTheme="minorHAnsi" w:cstheme="minorHAnsi"/>
          <w:i w:val="0"/>
          <w:sz w:val="22"/>
          <w:szCs w:val="22"/>
        </w:rPr>
        <w:t xml:space="preserve">teorica </w:t>
      </w:r>
      <w:r w:rsidRPr="00B21DAE">
        <w:rPr>
          <w:rStyle w:val="Enfasicorsivo"/>
          <w:rFonts w:asciiTheme="minorHAnsi" w:hAnsiTheme="minorHAnsi" w:cstheme="minorHAnsi"/>
          <w:i w:val="0"/>
          <w:sz w:val="22"/>
          <w:szCs w:val="22"/>
        </w:rPr>
        <w:t xml:space="preserve">di finanziamento </w:t>
      </w:r>
      <w:r w:rsidR="00481DC1">
        <w:rPr>
          <w:rStyle w:val="Enfasicorsivo"/>
          <w:rFonts w:asciiTheme="minorHAnsi" w:hAnsiTheme="minorHAnsi" w:cstheme="minorHAnsi"/>
          <w:i w:val="0"/>
          <w:sz w:val="22"/>
          <w:szCs w:val="22"/>
        </w:rPr>
        <w:t xml:space="preserve">certificherebbe il raggiungimento del target </w:t>
      </w:r>
      <w:r w:rsidRPr="00B21DAE">
        <w:rPr>
          <w:rStyle w:val="Enfasicorsivo"/>
          <w:rFonts w:asciiTheme="minorHAnsi" w:hAnsiTheme="minorHAnsi" w:cstheme="minorHAnsi"/>
          <w:i w:val="0"/>
          <w:sz w:val="22"/>
          <w:szCs w:val="22"/>
        </w:rPr>
        <w:t xml:space="preserve">– sottolinea Cartabellotta – ma </w:t>
      </w:r>
      <w:r w:rsidR="00481DC1">
        <w:rPr>
          <w:rFonts w:asciiTheme="minorHAnsi" w:hAnsiTheme="minorHAnsi" w:cstheme="minorHAnsi"/>
          <w:sz w:val="22"/>
          <w:szCs w:val="22"/>
        </w:rPr>
        <w:t>è</w:t>
      </w:r>
      <w:r w:rsidR="00481DC1" w:rsidRPr="00B21DAE">
        <w:rPr>
          <w:rFonts w:asciiTheme="minorHAnsi" w:hAnsiTheme="minorHAnsi" w:cstheme="minorHAnsi"/>
          <w:sz w:val="22"/>
          <w:szCs w:val="22"/>
        </w:rPr>
        <w:t xml:space="preserve"> in corso una ricognizione </w:t>
      </w:r>
      <w:r w:rsidR="00481DC1">
        <w:rPr>
          <w:rFonts w:asciiTheme="minorHAnsi" w:hAnsiTheme="minorHAnsi" w:cstheme="minorHAnsi"/>
          <w:sz w:val="22"/>
          <w:szCs w:val="22"/>
        </w:rPr>
        <w:t xml:space="preserve">perché </w:t>
      </w:r>
      <w:r w:rsidR="00481DC1" w:rsidRPr="00B21DAE">
        <w:rPr>
          <w:rFonts w:asciiTheme="minorHAnsi" w:hAnsiTheme="minorHAnsi" w:cstheme="minorHAnsi"/>
          <w:sz w:val="22"/>
          <w:szCs w:val="22"/>
        </w:rPr>
        <w:t>non è chiaro quanti</w:t>
      </w:r>
      <w:r w:rsidR="00481DC1">
        <w:rPr>
          <w:rFonts w:asciiTheme="minorHAnsi" w:hAnsiTheme="minorHAnsi" w:cstheme="minorHAnsi"/>
          <w:sz w:val="22"/>
          <w:szCs w:val="22"/>
        </w:rPr>
        <w:t xml:space="preserve"> progetti </w:t>
      </w:r>
      <w:r w:rsidR="00481DC1" w:rsidRPr="00B21DAE">
        <w:rPr>
          <w:rFonts w:asciiTheme="minorHAnsi" w:hAnsiTheme="minorHAnsi" w:cstheme="minorHAnsi"/>
          <w:sz w:val="22"/>
          <w:szCs w:val="22"/>
        </w:rPr>
        <w:t xml:space="preserve">rientrino nel perimetro </w:t>
      </w:r>
      <w:r w:rsidR="00481DC1">
        <w:rPr>
          <w:rFonts w:asciiTheme="minorHAnsi" w:hAnsiTheme="minorHAnsi" w:cstheme="minorHAnsi"/>
          <w:sz w:val="22"/>
          <w:szCs w:val="22"/>
        </w:rPr>
        <w:t xml:space="preserve">del </w:t>
      </w:r>
      <w:r w:rsidR="00481DC1" w:rsidRPr="00B21DAE">
        <w:rPr>
          <w:rFonts w:asciiTheme="minorHAnsi" w:hAnsiTheme="minorHAnsi" w:cstheme="minorHAnsi"/>
          <w:sz w:val="22"/>
          <w:szCs w:val="22"/>
        </w:rPr>
        <w:t>PNRR</w:t>
      </w:r>
      <w:r w:rsidRPr="00B21DAE">
        <w:rPr>
          <w:rStyle w:val="Enfasicorsivo"/>
          <w:rFonts w:asciiTheme="minorHAnsi" w:hAnsiTheme="minorHAnsi" w:cstheme="minorHAnsi"/>
          <w:i w:val="0"/>
          <w:sz w:val="22"/>
          <w:szCs w:val="22"/>
        </w:rPr>
        <w:t>»</w:t>
      </w:r>
      <w:r w:rsidRPr="00B21DAE">
        <w:rPr>
          <w:rFonts w:asciiTheme="minorHAnsi" w:hAnsiTheme="minorHAnsi" w:cstheme="minorHAnsi"/>
          <w:i/>
          <w:sz w:val="22"/>
          <w:szCs w:val="22"/>
        </w:rPr>
        <w:t>.</w:t>
      </w:r>
    </w:p>
    <w:p w14:paraId="3EACC234" w14:textId="0BD8D276" w:rsidR="00267117" w:rsidRPr="00267117" w:rsidRDefault="00267117" w:rsidP="00AE62B4">
      <w:pPr>
        <w:jc w:val="both"/>
        <w:rPr>
          <w:rFonts w:cstheme="minorHAnsi"/>
        </w:rPr>
      </w:pPr>
      <w:r w:rsidRPr="00267117">
        <w:rPr>
          <w:rFonts w:cstheme="minorHAnsi"/>
          <w:b/>
          <w:bCs/>
        </w:rPr>
        <w:t>Assistenza domiciliare</w:t>
      </w:r>
      <w:r>
        <w:rPr>
          <w:rFonts w:cstheme="minorHAnsi"/>
          <w:b/>
          <w:bCs/>
        </w:rPr>
        <w:t xml:space="preserve"> </w:t>
      </w:r>
      <w:r w:rsidR="006B7CAE">
        <w:rPr>
          <w:rFonts w:cstheme="minorHAnsi"/>
          <w:b/>
          <w:bCs/>
        </w:rPr>
        <w:t xml:space="preserve">integrata (ADI) </w:t>
      </w:r>
      <w:r>
        <w:rPr>
          <w:rFonts w:cstheme="minorHAnsi"/>
          <w:b/>
          <w:bCs/>
        </w:rPr>
        <w:t xml:space="preserve">negli over 65. </w:t>
      </w:r>
      <w:r w:rsidR="00E30E54">
        <w:rPr>
          <w:rFonts w:cstheme="minorHAnsi"/>
        </w:rPr>
        <w:t xml:space="preserve">L’obiettivo prevede </w:t>
      </w:r>
      <w:r w:rsidR="006B7CAE">
        <w:rPr>
          <w:rFonts w:cstheme="minorHAnsi"/>
        </w:rPr>
        <w:t xml:space="preserve">di aumentare i pazienti in ADI </w:t>
      </w:r>
      <w:r w:rsidR="00E30E54">
        <w:rPr>
          <w:rFonts w:cstheme="minorHAnsi"/>
        </w:rPr>
        <w:t xml:space="preserve">di </w:t>
      </w:r>
      <w:r w:rsidR="00E30E54" w:rsidRPr="00267117">
        <w:rPr>
          <w:rFonts w:cstheme="minorHAnsi"/>
        </w:rPr>
        <w:t>almeno 842.000</w:t>
      </w:r>
      <w:r w:rsidR="00E30E54">
        <w:rPr>
          <w:rFonts w:cstheme="minorHAnsi"/>
        </w:rPr>
        <w:t xml:space="preserve"> unità </w:t>
      </w:r>
      <w:r w:rsidRPr="00267117">
        <w:rPr>
          <w:rFonts w:cstheme="minorHAnsi"/>
        </w:rPr>
        <w:t xml:space="preserve">rispetto al 2019. Il dato </w:t>
      </w:r>
      <w:r w:rsidR="00904D89">
        <w:rPr>
          <w:rFonts w:cstheme="minorHAnsi"/>
        </w:rPr>
        <w:t xml:space="preserve">di </w:t>
      </w:r>
      <w:r w:rsidRPr="00267117">
        <w:rPr>
          <w:rFonts w:cstheme="minorHAnsi"/>
        </w:rPr>
        <w:t xml:space="preserve">fine 2024 certifica il </w:t>
      </w:r>
      <w:r w:rsidR="00904D89">
        <w:rPr>
          <w:rFonts w:cstheme="minorHAnsi"/>
        </w:rPr>
        <w:t>superamento del target</w:t>
      </w:r>
      <w:r w:rsidR="009E159F">
        <w:rPr>
          <w:rFonts w:cstheme="minorHAnsi"/>
        </w:rPr>
        <w:t xml:space="preserve"> ben 18 mesi prima della scadenza</w:t>
      </w:r>
      <w:r w:rsidR="000D4851">
        <w:rPr>
          <w:rFonts w:cstheme="minorHAnsi"/>
        </w:rPr>
        <w:t xml:space="preserve">, </w:t>
      </w:r>
      <w:r w:rsidR="009E159F">
        <w:rPr>
          <w:rFonts w:cstheme="minorHAnsi"/>
        </w:rPr>
        <w:t>con</w:t>
      </w:r>
      <w:r w:rsidR="00E30E54">
        <w:rPr>
          <w:rFonts w:cstheme="minorHAnsi"/>
        </w:rPr>
        <w:t xml:space="preserve"> </w:t>
      </w:r>
      <w:r w:rsidRPr="00267117">
        <w:rPr>
          <w:rFonts w:cstheme="minorHAnsi"/>
        </w:rPr>
        <w:t>900.853 pazienti in più</w:t>
      </w:r>
      <w:r w:rsidR="00904D89">
        <w:rPr>
          <w:rFonts w:cstheme="minorHAnsi"/>
        </w:rPr>
        <w:t xml:space="preserve"> presi in carico</w:t>
      </w:r>
      <w:r>
        <w:rPr>
          <w:rFonts w:cstheme="minorHAnsi"/>
        </w:rPr>
        <w:t xml:space="preserve">. </w:t>
      </w:r>
    </w:p>
    <w:p w14:paraId="04A30E40" w14:textId="7F031FCE" w:rsidR="00267117" w:rsidRPr="00267117" w:rsidRDefault="00267117" w:rsidP="00AE62B4">
      <w:pPr>
        <w:jc w:val="both"/>
        <w:rPr>
          <w:rFonts w:cstheme="minorHAnsi"/>
        </w:rPr>
      </w:pPr>
      <w:r w:rsidRPr="00267117">
        <w:rPr>
          <w:rFonts w:cstheme="minorHAnsi"/>
          <w:b/>
          <w:bCs/>
        </w:rPr>
        <w:t>Gr</w:t>
      </w:r>
      <w:r>
        <w:rPr>
          <w:rFonts w:cstheme="minorHAnsi"/>
          <w:b/>
          <w:bCs/>
        </w:rPr>
        <w:t xml:space="preserve">andi apparecchiature sanitarie. </w:t>
      </w:r>
      <w:r w:rsidRPr="00267117">
        <w:rPr>
          <w:rFonts w:cstheme="minorHAnsi"/>
        </w:rPr>
        <w:t xml:space="preserve">Dei 3.223 macchinari previsti, al 31 gennaio 2025 ne </w:t>
      </w:r>
      <w:r w:rsidR="00904D89">
        <w:rPr>
          <w:rFonts w:cstheme="minorHAnsi"/>
        </w:rPr>
        <w:t>risultavano</w:t>
      </w:r>
      <w:r w:rsidRPr="00267117">
        <w:rPr>
          <w:rFonts w:cstheme="minorHAnsi"/>
        </w:rPr>
        <w:t xml:space="preserve"> ordinati 3.126 (97%), consegnati 2.578 (80%) e collaudati 2.482 (77%).</w:t>
      </w:r>
      <w:r w:rsidR="00EC38DB">
        <w:rPr>
          <w:rFonts w:cstheme="minorHAnsi"/>
        </w:rPr>
        <w:t xml:space="preserve"> Il target</w:t>
      </w:r>
      <w:r w:rsidR="000746D6">
        <w:rPr>
          <w:rFonts w:cstheme="minorHAnsi"/>
        </w:rPr>
        <w:t xml:space="preserve">, </w:t>
      </w:r>
      <w:r w:rsidR="009E159F">
        <w:rPr>
          <w:rFonts w:cstheme="minorHAnsi"/>
        </w:rPr>
        <w:t>riferi</w:t>
      </w:r>
      <w:r w:rsidR="000746D6">
        <w:rPr>
          <w:rFonts w:cstheme="minorHAnsi"/>
        </w:rPr>
        <w:t xml:space="preserve">to </w:t>
      </w:r>
      <w:r w:rsidR="009E159F">
        <w:rPr>
          <w:rFonts w:cstheme="minorHAnsi"/>
        </w:rPr>
        <w:t>al collaudo delle apparecchiature</w:t>
      </w:r>
      <w:r w:rsidR="000746D6">
        <w:rPr>
          <w:rFonts w:cstheme="minorHAnsi"/>
        </w:rPr>
        <w:t>,</w:t>
      </w:r>
      <w:r w:rsidR="009E159F">
        <w:rPr>
          <w:rFonts w:cstheme="minorHAnsi"/>
        </w:rPr>
        <w:t xml:space="preserve"> </w:t>
      </w:r>
      <w:r w:rsidR="006B7CAE">
        <w:rPr>
          <w:rFonts w:cstheme="minorHAnsi"/>
        </w:rPr>
        <w:t>è</w:t>
      </w:r>
      <w:r w:rsidR="009E159F">
        <w:rPr>
          <w:rFonts w:cstheme="minorHAnsi"/>
        </w:rPr>
        <w:t xml:space="preserve"> </w:t>
      </w:r>
      <w:r w:rsidR="00904D89" w:rsidRPr="00904D89">
        <w:rPr>
          <w:rFonts w:cstheme="minorHAnsi"/>
        </w:rPr>
        <w:t xml:space="preserve">quindi </w:t>
      </w:r>
      <w:r w:rsidR="00EC38DB">
        <w:rPr>
          <w:rFonts w:cstheme="minorHAnsi"/>
        </w:rPr>
        <w:t>prossimo</w:t>
      </w:r>
      <w:r w:rsidR="00904D89" w:rsidRPr="00904D89">
        <w:rPr>
          <w:rFonts w:cstheme="minorHAnsi"/>
        </w:rPr>
        <w:t xml:space="preserve"> al completamento.</w:t>
      </w:r>
    </w:p>
    <w:p w14:paraId="6D5E3B8B" w14:textId="7037E275" w:rsidR="00904D89" w:rsidRPr="00E657D9" w:rsidRDefault="00267117" w:rsidP="00AE62B4">
      <w:pPr>
        <w:jc w:val="both"/>
        <w:rPr>
          <w:rFonts w:cstheme="minorHAnsi"/>
        </w:rPr>
      </w:pPr>
      <w:r w:rsidRPr="00267117">
        <w:rPr>
          <w:rFonts w:cstheme="minorHAnsi"/>
          <w:b/>
          <w:bCs/>
        </w:rPr>
        <w:t xml:space="preserve">Contratti di </w:t>
      </w:r>
      <w:r>
        <w:rPr>
          <w:rFonts w:cstheme="minorHAnsi"/>
          <w:b/>
          <w:bCs/>
        </w:rPr>
        <w:t xml:space="preserve">formazione specialistica. </w:t>
      </w:r>
      <w:r w:rsidR="009E159F">
        <w:rPr>
          <w:rFonts w:cstheme="minorHAnsi"/>
        </w:rPr>
        <w:t>A partire dall’an</w:t>
      </w:r>
      <w:r w:rsidR="009E159F" w:rsidRPr="00267117">
        <w:rPr>
          <w:rFonts w:cstheme="minorHAnsi"/>
        </w:rPr>
        <w:t>no accademico 2</w:t>
      </w:r>
      <w:r w:rsidR="009E159F">
        <w:rPr>
          <w:rFonts w:cstheme="minorHAnsi"/>
        </w:rPr>
        <w:t>020-21 s</w:t>
      </w:r>
      <w:r w:rsidRPr="00267117">
        <w:rPr>
          <w:rFonts w:cstheme="minorHAnsi"/>
        </w:rPr>
        <w:t xml:space="preserve">ono stati stanziati </w:t>
      </w:r>
      <w:r w:rsidR="00904D89">
        <w:rPr>
          <w:rFonts w:cstheme="minorHAnsi"/>
        </w:rPr>
        <w:t xml:space="preserve">€ </w:t>
      </w:r>
      <w:r w:rsidRPr="00267117">
        <w:rPr>
          <w:rFonts w:cstheme="minorHAnsi"/>
        </w:rPr>
        <w:t xml:space="preserve">538 milioni per </w:t>
      </w:r>
      <w:r w:rsidR="009E159F">
        <w:rPr>
          <w:rFonts w:cstheme="minorHAnsi"/>
        </w:rPr>
        <w:t xml:space="preserve">i </w:t>
      </w:r>
      <w:r w:rsidRPr="00267117">
        <w:rPr>
          <w:rFonts w:cstheme="minorHAnsi"/>
        </w:rPr>
        <w:t>4.200 contratti di formazione medico-specialistica</w:t>
      </w:r>
      <w:r w:rsidR="009E159F">
        <w:rPr>
          <w:rFonts w:cstheme="minorHAnsi"/>
        </w:rPr>
        <w:t xml:space="preserve"> previsti dall’obiettivo</w:t>
      </w:r>
      <w:r w:rsidR="00904D89">
        <w:rPr>
          <w:rFonts w:cstheme="minorHAnsi"/>
        </w:rPr>
        <w:t>. I</w:t>
      </w:r>
      <w:r w:rsidRPr="00267117">
        <w:rPr>
          <w:rFonts w:cstheme="minorHAnsi"/>
        </w:rPr>
        <w:t xml:space="preserve">l target </w:t>
      </w:r>
      <w:r>
        <w:rPr>
          <w:rFonts w:cstheme="minorHAnsi"/>
        </w:rPr>
        <w:t>risulta formalmente completato.</w:t>
      </w:r>
    </w:p>
    <w:p w14:paraId="1C120189" w14:textId="60113D1F" w:rsidR="006B1AA0" w:rsidRDefault="002D5D4E" w:rsidP="006B1AA0">
      <w:pPr>
        <w:jc w:val="both"/>
        <w:rPr>
          <w:rFonts w:cstheme="minorHAnsi"/>
          <w:i/>
        </w:rPr>
      </w:pPr>
      <w:r>
        <w:rPr>
          <w:rFonts w:cstheme="minorHAnsi"/>
          <w:b/>
          <w:bCs/>
        </w:rPr>
        <w:t xml:space="preserve">TARGET </w:t>
      </w:r>
      <w:r w:rsidRPr="00DB5F51">
        <w:rPr>
          <w:rFonts w:cstheme="minorHAnsi"/>
          <w:b/>
          <w:bCs/>
        </w:rPr>
        <w:t>NON VALUTABILI PER DATI NON DISPONIBILI</w:t>
      </w:r>
      <w:r w:rsidR="00D26484">
        <w:rPr>
          <w:rFonts w:cstheme="minorHAnsi"/>
          <w:b/>
          <w:bCs/>
        </w:rPr>
        <w:t xml:space="preserve"> (N.</w:t>
      </w:r>
      <w:r w:rsidR="00F74A63">
        <w:rPr>
          <w:rFonts w:cstheme="minorHAnsi"/>
          <w:b/>
          <w:bCs/>
        </w:rPr>
        <w:t xml:space="preserve"> 5</w:t>
      </w:r>
      <w:r w:rsidR="00D26484">
        <w:rPr>
          <w:rFonts w:cstheme="minorHAnsi"/>
          <w:b/>
          <w:bCs/>
        </w:rPr>
        <w:t>)</w:t>
      </w:r>
      <w:r w:rsidR="009E159F">
        <w:rPr>
          <w:rFonts w:cstheme="minorHAnsi"/>
          <w:b/>
          <w:bCs/>
        </w:rPr>
        <w:t>.</w:t>
      </w:r>
      <w:r w:rsidR="00D26484">
        <w:rPr>
          <w:rFonts w:cstheme="minorHAnsi"/>
          <w:b/>
          <w:bCs/>
        </w:rPr>
        <w:t xml:space="preserve"> </w:t>
      </w:r>
      <w:r w:rsidR="001F4E35">
        <w:rPr>
          <w:rFonts w:cstheme="minorHAnsi"/>
          <w:bCs/>
        </w:rPr>
        <w:t>P</w:t>
      </w:r>
      <w:r w:rsidR="00C12E59">
        <w:rPr>
          <w:rFonts w:cstheme="minorHAnsi"/>
          <w:bCs/>
        </w:rPr>
        <w:t xml:space="preserve">er alcuni target non sono state identificate </w:t>
      </w:r>
      <w:r w:rsidR="00904D89">
        <w:rPr>
          <w:rFonts w:cstheme="minorHAnsi"/>
          <w:bCs/>
        </w:rPr>
        <w:t>fonti</w:t>
      </w:r>
      <w:r w:rsidR="00B21DAE" w:rsidRPr="00B21DAE">
        <w:rPr>
          <w:rFonts w:cstheme="minorHAnsi"/>
          <w:bCs/>
        </w:rPr>
        <w:t xml:space="preserve"> </w:t>
      </w:r>
      <w:r w:rsidR="00BF6668">
        <w:rPr>
          <w:rFonts w:cstheme="minorHAnsi"/>
          <w:bCs/>
        </w:rPr>
        <w:t xml:space="preserve">pubblicamente disponibili </w:t>
      </w:r>
      <w:r w:rsidR="00B21DAE" w:rsidRPr="00B21DAE">
        <w:rPr>
          <w:rFonts w:cstheme="minorHAnsi"/>
          <w:bCs/>
        </w:rPr>
        <w:t>aggiornate, rendendo impossibile valuta</w:t>
      </w:r>
      <w:r w:rsidR="00E30E54">
        <w:rPr>
          <w:rFonts w:cstheme="minorHAnsi"/>
          <w:bCs/>
        </w:rPr>
        <w:t xml:space="preserve">rne lo </w:t>
      </w:r>
      <w:r w:rsidR="00B21DAE" w:rsidRPr="00B21DAE">
        <w:rPr>
          <w:rFonts w:cstheme="minorHAnsi"/>
          <w:bCs/>
        </w:rPr>
        <w:t>stato di attuazione.</w:t>
      </w:r>
      <w:r w:rsidR="00CC31CD">
        <w:rPr>
          <w:rFonts w:cstheme="minorHAnsi"/>
          <w:bCs/>
        </w:rPr>
        <w:t xml:space="preserve"> </w:t>
      </w:r>
      <w:r w:rsidR="00CC31CD" w:rsidRPr="00B21DAE">
        <w:rPr>
          <w:rStyle w:val="Enfasicorsivo"/>
          <w:rFonts w:cstheme="minorHAnsi"/>
          <w:i w:val="0"/>
        </w:rPr>
        <w:t>«</w:t>
      </w:r>
      <w:r w:rsidR="00CC31CD">
        <w:rPr>
          <w:rStyle w:val="Enfasicorsivo"/>
          <w:rFonts w:cstheme="minorHAnsi"/>
          <w:i w:val="0"/>
        </w:rPr>
        <w:t xml:space="preserve">Riteniamo </w:t>
      </w:r>
      <w:r w:rsidR="00904D89">
        <w:rPr>
          <w:rStyle w:val="Enfasicorsivo"/>
          <w:rFonts w:cstheme="minorHAnsi"/>
          <w:i w:val="0"/>
        </w:rPr>
        <w:t xml:space="preserve">indispensabile </w:t>
      </w:r>
      <w:r w:rsidR="00CC31CD" w:rsidRPr="00B21DAE">
        <w:rPr>
          <w:rStyle w:val="Enfasicorsivo"/>
          <w:rFonts w:cstheme="minorHAnsi"/>
          <w:i w:val="0"/>
        </w:rPr>
        <w:t xml:space="preserve">– </w:t>
      </w:r>
      <w:r w:rsidR="00CC31CD">
        <w:rPr>
          <w:rStyle w:val="Enfasicorsivo"/>
          <w:rFonts w:cstheme="minorHAnsi"/>
          <w:i w:val="0"/>
        </w:rPr>
        <w:t xml:space="preserve">commenta </w:t>
      </w:r>
      <w:r w:rsidR="00CC31CD" w:rsidRPr="00B21DAE">
        <w:rPr>
          <w:rStyle w:val="Enfasicorsivo"/>
          <w:rFonts w:cstheme="minorHAnsi"/>
          <w:i w:val="0"/>
        </w:rPr>
        <w:t>Cartabellotta –</w:t>
      </w:r>
      <w:r w:rsidR="00CC31CD">
        <w:rPr>
          <w:rStyle w:val="Enfasicorsivo"/>
          <w:rFonts w:cstheme="minorHAnsi"/>
          <w:i w:val="0"/>
        </w:rPr>
        <w:t xml:space="preserve"> che tutti i dati relativi </w:t>
      </w:r>
      <w:r w:rsidR="00904D89">
        <w:rPr>
          <w:rStyle w:val="Enfasicorsivo"/>
          <w:rFonts w:cstheme="minorHAnsi"/>
          <w:i w:val="0"/>
        </w:rPr>
        <w:t>all’</w:t>
      </w:r>
      <w:r w:rsidR="00CC31CD">
        <w:rPr>
          <w:rStyle w:val="Enfasicorsivo"/>
          <w:rFonts w:cstheme="minorHAnsi"/>
          <w:i w:val="0"/>
        </w:rPr>
        <w:t>avanzamento dei progetti del PNRR debbano essere resi pubblicamente disponibili</w:t>
      </w:r>
      <w:r w:rsidR="00904D89">
        <w:rPr>
          <w:rStyle w:val="Enfasicorsivo"/>
          <w:rFonts w:cstheme="minorHAnsi"/>
          <w:i w:val="0"/>
        </w:rPr>
        <w:t xml:space="preserve">. </w:t>
      </w:r>
      <w:r w:rsidR="00904D89" w:rsidRPr="00904D89">
        <w:rPr>
          <w:rStyle w:val="Enfasicorsivo"/>
          <w:rFonts w:cstheme="minorHAnsi"/>
          <w:i w:val="0"/>
        </w:rPr>
        <w:t>In un Paese democratico, la trasparenza non è un dettaglio tecnico</w:t>
      </w:r>
      <w:r w:rsidR="006B7CAE">
        <w:rPr>
          <w:rStyle w:val="Enfasicorsivo"/>
          <w:rFonts w:cstheme="minorHAnsi"/>
          <w:i w:val="0"/>
        </w:rPr>
        <w:t xml:space="preserve">, ma </w:t>
      </w:r>
      <w:r w:rsidR="00904D89" w:rsidRPr="00904D89">
        <w:rPr>
          <w:rStyle w:val="Enfasicorsivo"/>
          <w:rFonts w:cstheme="minorHAnsi"/>
          <w:i w:val="0"/>
        </w:rPr>
        <w:t>il primo strumento di rendicontazione pubblica e di fiducia tra istituzioni e cittadini</w:t>
      </w:r>
      <w:r w:rsidR="00CC31CD" w:rsidRPr="00B21DAE">
        <w:rPr>
          <w:rStyle w:val="Enfasicorsivo"/>
          <w:rFonts w:cstheme="minorHAnsi"/>
          <w:i w:val="0"/>
        </w:rPr>
        <w:t>»</w:t>
      </w:r>
      <w:r w:rsidR="00CC31CD" w:rsidRPr="00B21DAE">
        <w:rPr>
          <w:rFonts w:cstheme="minorHAnsi"/>
          <w:i/>
        </w:rPr>
        <w:t>.</w:t>
      </w:r>
    </w:p>
    <w:p w14:paraId="403CF571" w14:textId="159C8BC9" w:rsidR="00F74A63" w:rsidRPr="006B1AA0" w:rsidRDefault="00F74A63" w:rsidP="00F74A63">
      <w:pPr>
        <w:jc w:val="both"/>
        <w:rPr>
          <w:rFonts w:cstheme="minorHAnsi"/>
          <w:bCs/>
        </w:rPr>
      </w:pPr>
      <w:r w:rsidRPr="00B21DAE">
        <w:rPr>
          <w:rStyle w:val="Enfasigrassetto"/>
          <w:rFonts w:cstheme="minorHAnsi"/>
        </w:rPr>
        <w:t>Almeno 300.000 persone assistite con strumenti di telemedicina</w:t>
      </w:r>
      <w:r>
        <w:rPr>
          <w:rFonts w:cstheme="minorHAnsi"/>
        </w:rPr>
        <w:t xml:space="preserve">. </w:t>
      </w:r>
      <w:r w:rsidRPr="00B21DAE">
        <w:rPr>
          <w:rFonts w:cstheme="minorHAnsi"/>
        </w:rPr>
        <w:t>La scadenza è fissata al 31 dicembre 2025, ma a</w:t>
      </w:r>
      <w:r>
        <w:rPr>
          <w:rFonts w:cstheme="minorHAnsi"/>
        </w:rPr>
        <w:t>d</w:t>
      </w:r>
      <w:r w:rsidRPr="00B21DAE">
        <w:rPr>
          <w:rFonts w:cstheme="minorHAnsi"/>
        </w:rPr>
        <w:t xml:space="preserve"> oggi non sono disponibili dati ufficiali sul numero di pazienti presi in carico con strumenti di telemedicina. Nel primo trimestre del 2025 è stata avviata la raccolta </w:t>
      </w:r>
      <w:r w:rsidR="00144A96">
        <w:rPr>
          <w:rFonts w:cstheme="minorHAnsi"/>
        </w:rPr>
        <w:t xml:space="preserve">dei </w:t>
      </w:r>
      <w:r w:rsidRPr="00B21DAE">
        <w:rPr>
          <w:rFonts w:cstheme="minorHAnsi"/>
        </w:rPr>
        <w:t xml:space="preserve">dati </w:t>
      </w:r>
      <w:r>
        <w:rPr>
          <w:rFonts w:cstheme="minorHAnsi"/>
        </w:rPr>
        <w:t>tramite la</w:t>
      </w:r>
      <w:r w:rsidRPr="00B21DAE">
        <w:rPr>
          <w:rFonts w:cstheme="minorHAnsi"/>
        </w:rPr>
        <w:t xml:space="preserve"> Piattaforma</w:t>
      </w:r>
      <w:r>
        <w:rPr>
          <w:rFonts w:cstheme="minorHAnsi"/>
        </w:rPr>
        <w:t xml:space="preserve"> Nazionale</w:t>
      </w:r>
      <w:r w:rsidRPr="00B21DAE">
        <w:rPr>
          <w:rFonts w:cstheme="minorHAnsi"/>
        </w:rPr>
        <w:t xml:space="preserve"> di Telemedicina e sono state completate le gare per infrastrutture e postazioni.</w:t>
      </w:r>
      <w:r>
        <w:rPr>
          <w:rFonts w:cstheme="minorHAnsi"/>
        </w:rPr>
        <w:t xml:space="preserve"> </w:t>
      </w:r>
    </w:p>
    <w:p w14:paraId="04FF61A1" w14:textId="77777777" w:rsidR="00F74A63" w:rsidRDefault="00F74A63" w:rsidP="00F74A63">
      <w:pPr>
        <w:pStyle w:val="NormaleWeb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1DAE">
        <w:rPr>
          <w:rStyle w:val="Enfasigrassetto"/>
          <w:rFonts w:asciiTheme="minorHAnsi" w:hAnsiTheme="minorHAnsi" w:cstheme="minorHAnsi"/>
          <w:sz w:val="22"/>
          <w:szCs w:val="22"/>
        </w:rPr>
        <w:t xml:space="preserve">Digitalizzazione di 280 </w:t>
      </w:r>
      <w:r w:rsidRPr="00B21DAE">
        <w:rPr>
          <w:rFonts w:asciiTheme="minorHAnsi" w:hAnsiTheme="minorHAnsi" w:cstheme="minorHAnsi"/>
          <w:b/>
          <w:bCs/>
          <w:sz w:val="22"/>
          <w:szCs w:val="22"/>
        </w:rPr>
        <w:t xml:space="preserve">strutture </w:t>
      </w:r>
      <w:r>
        <w:rPr>
          <w:rFonts w:asciiTheme="minorHAnsi" w:hAnsiTheme="minorHAnsi" w:cstheme="minorHAnsi"/>
          <w:b/>
          <w:bCs/>
          <w:sz w:val="22"/>
          <w:szCs w:val="22"/>
        </w:rPr>
        <w:t>ospedaliere sede di</w:t>
      </w:r>
      <w:r w:rsidRPr="00B21DAE">
        <w:rPr>
          <w:rStyle w:val="Enfasigrassetto"/>
          <w:rFonts w:asciiTheme="minorHAnsi" w:hAnsiTheme="minorHAnsi" w:cstheme="minorHAnsi"/>
          <w:sz w:val="22"/>
          <w:szCs w:val="22"/>
        </w:rPr>
        <w:t xml:space="preserve"> DEA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21DAE">
        <w:rPr>
          <w:rFonts w:asciiTheme="minorHAnsi" w:hAnsiTheme="minorHAnsi" w:cstheme="minorHAnsi"/>
          <w:sz w:val="22"/>
          <w:szCs w:val="22"/>
        </w:rPr>
        <w:t xml:space="preserve">Anche questo target ha come </w:t>
      </w:r>
      <w:r>
        <w:rPr>
          <w:rFonts w:asciiTheme="minorHAnsi" w:hAnsiTheme="minorHAnsi" w:cstheme="minorHAnsi"/>
          <w:sz w:val="22"/>
          <w:szCs w:val="22"/>
        </w:rPr>
        <w:t>scadenza</w:t>
      </w:r>
      <w:r w:rsidRPr="00B21DAE">
        <w:rPr>
          <w:rFonts w:asciiTheme="minorHAnsi" w:hAnsiTheme="minorHAnsi" w:cstheme="minorHAnsi"/>
          <w:sz w:val="22"/>
          <w:szCs w:val="22"/>
        </w:rPr>
        <w:t xml:space="preserve"> il 31 dicembre 2025. Non esistono dati pubblici sugli ospedali già digitalizzati, mentre al 25 febbraio 2025 risultano aggiudicati tutti gli appalti. Tuttavia, l’importo fatturato a livello nazionale </w:t>
      </w:r>
      <w:r>
        <w:rPr>
          <w:rFonts w:asciiTheme="minorHAnsi" w:hAnsiTheme="minorHAnsi" w:cstheme="minorHAnsi"/>
          <w:sz w:val="22"/>
          <w:szCs w:val="22"/>
        </w:rPr>
        <w:t xml:space="preserve">si attesta </w:t>
      </w:r>
      <w:r w:rsidRPr="00B21DAE">
        <w:rPr>
          <w:rFonts w:asciiTheme="minorHAnsi" w:hAnsiTheme="minorHAnsi" w:cstheme="minorHAnsi"/>
          <w:sz w:val="22"/>
          <w:szCs w:val="22"/>
        </w:rPr>
        <w:t>appena al 21%</w:t>
      </w:r>
      <w:r>
        <w:rPr>
          <w:rFonts w:asciiTheme="minorHAnsi" w:hAnsiTheme="minorHAnsi" w:cstheme="minorHAnsi"/>
          <w:sz w:val="22"/>
          <w:szCs w:val="22"/>
        </w:rPr>
        <w:t xml:space="preserve"> del totale</w:t>
      </w:r>
      <w:r w:rsidRPr="00B21DAE">
        <w:rPr>
          <w:rFonts w:asciiTheme="minorHAnsi" w:hAnsiTheme="minorHAnsi" w:cstheme="minorHAnsi"/>
          <w:sz w:val="22"/>
          <w:szCs w:val="22"/>
        </w:rPr>
        <w:t>.</w:t>
      </w:r>
    </w:p>
    <w:p w14:paraId="5847ECA3" w14:textId="77777777" w:rsidR="00F74A63" w:rsidRPr="00E30E54" w:rsidRDefault="00F74A63" w:rsidP="00F74A63">
      <w:pPr>
        <w:jc w:val="both"/>
        <w:rPr>
          <w:rFonts w:cstheme="minorHAnsi"/>
          <w:iCs/>
        </w:rPr>
      </w:pPr>
      <w:r w:rsidRPr="00E30E54">
        <w:rPr>
          <w:rFonts w:cstheme="minorHAnsi"/>
          <w:b/>
          <w:bCs/>
        </w:rPr>
        <w:lastRenderedPageBreak/>
        <w:t>Alimentazione del F</w:t>
      </w:r>
      <w:r>
        <w:rPr>
          <w:rFonts w:cstheme="minorHAnsi"/>
          <w:b/>
          <w:bCs/>
        </w:rPr>
        <w:t xml:space="preserve">ascicolo </w:t>
      </w:r>
      <w:r w:rsidRPr="00E30E54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anitario </w:t>
      </w:r>
      <w:r w:rsidRPr="00E30E54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>lettronico (FSE)</w:t>
      </w:r>
      <w:r w:rsidRPr="00E30E54">
        <w:rPr>
          <w:rFonts w:cstheme="minorHAnsi"/>
          <w:b/>
          <w:bCs/>
        </w:rPr>
        <w:t xml:space="preserve"> da parte dei Medici di Medicina Generale (MMG)</w:t>
      </w:r>
      <w:r w:rsidRPr="00E30E54">
        <w:rPr>
          <w:rFonts w:cstheme="minorHAnsi"/>
        </w:rPr>
        <w:t xml:space="preserve">. Entro il 31 dicembre 2025, l’85% dei MMG dovrebbe alimentare regolarmente il FSE. Tuttavia, non esistono dati pubblici per valutare il rispetto di questo obiettivo. </w:t>
      </w:r>
      <w:r w:rsidRPr="00E30E54">
        <w:rPr>
          <w:rFonts w:cstheme="minorHAnsi"/>
          <w:iCs/>
        </w:rPr>
        <w:t xml:space="preserve">L’unica informazione disponibile è </w:t>
      </w:r>
      <w:r w:rsidRPr="00E30E54">
        <w:rPr>
          <w:rFonts w:cstheme="minorHAnsi"/>
        </w:rPr>
        <w:t xml:space="preserve">che il 95% di MMG e Pediatri di Libera Scelta (PLS) ha effettuato almeno un accesso al FSE nell’ultimo trimestre monitorato. </w:t>
      </w:r>
      <w:r w:rsidRPr="00E30E54">
        <w:rPr>
          <w:rFonts w:cstheme="minorHAnsi"/>
          <w:iCs/>
        </w:rPr>
        <w:t xml:space="preserve">«Senza dati puntuali sull’alimentazione del FSE – osserva Cartabellotta – è impossibile valutare il ruolo attivo dei medici di famiglia. In particolare, rispetto al Profilo Sanitario Sintetico (cd. </w:t>
      </w:r>
      <w:proofErr w:type="spellStart"/>
      <w:r w:rsidRPr="00E30E54">
        <w:rPr>
          <w:rFonts w:cstheme="minorHAnsi"/>
          <w:i/>
        </w:rPr>
        <w:t>Patient</w:t>
      </w:r>
      <w:proofErr w:type="spellEnd"/>
      <w:r w:rsidRPr="00E30E54">
        <w:rPr>
          <w:rFonts w:cstheme="minorHAnsi"/>
          <w:i/>
        </w:rPr>
        <w:t xml:space="preserve"> </w:t>
      </w:r>
      <w:proofErr w:type="spellStart"/>
      <w:r w:rsidRPr="00E30E54">
        <w:rPr>
          <w:rFonts w:cstheme="minorHAnsi"/>
          <w:i/>
        </w:rPr>
        <w:t>Summary</w:t>
      </w:r>
      <w:proofErr w:type="spellEnd"/>
      <w:r w:rsidRPr="00E30E54">
        <w:rPr>
          <w:rFonts w:cstheme="minorHAnsi"/>
          <w:iCs/>
        </w:rPr>
        <w:t xml:space="preserve">), il documento dove il MMG riassume e mantiene aggiornata la storia clinica del paziente per favorire la continuità di cura». </w:t>
      </w:r>
    </w:p>
    <w:p w14:paraId="77F67F06" w14:textId="08C7BEB2" w:rsidR="00DB5F51" w:rsidRPr="00DB5F51" w:rsidRDefault="00B21DAE" w:rsidP="00AE62B4">
      <w:pPr>
        <w:pStyle w:val="NormaleWeb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1DAE">
        <w:rPr>
          <w:rStyle w:val="Enfasigrassetto"/>
          <w:rFonts w:asciiTheme="minorHAnsi" w:hAnsiTheme="minorHAnsi" w:cstheme="minorHAnsi"/>
          <w:sz w:val="22"/>
          <w:szCs w:val="22"/>
        </w:rPr>
        <w:t>Tessera sanitaria elettronica e interoperabilità del FSE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21DAE">
        <w:rPr>
          <w:rFonts w:asciiTheme="minorHAnsi" w:hAnsiTheme="minorHAnsi" w:cstheme="minorHAnsi"/>
          <w:sz w:val="22"/>
          <w:szCs w:val="22"/>
        </w:rPr>
        <w:t xml:space="preserve">Entro giugno 2026 il sistema dovrà essere pienamente operativo. </w:t>
      </w:r>
      <w:r w:rsidR="0012447F" w:rsidRPr="0012447F">
        <w:rPr>
          <w:rFonts w:asciiTheme="minorHAnsi" w:hAnsiTheme="minorHAnsi" w:cstheme="minorHAnsi"/>
          <w:sz w:val="22"/>
          <w:szCs w:val="22"/>
        </w:rPr>
        <w:t>A inizio 2025 sono state attivate le infrastrutture tecniche per l’interoperabilità dei dati sanitari tra le Regioni e, a marzo, è stato pubblicato</w:t>
      </w:r>
      <w:r w:rsidR="0012447F">
        <w:rPr>
          <w:rFonts w:asciiTheme="minorHAnsi" w:hAnsiTheme="minorHAnsi" w:cstheme="minorHAnsi"/>
          <w:sz w:val="22"/>
          <w:szCs w:val="22"/>
        </w:rPr>
        <w:t xml:space="preserve"> in Gazzetta Ufficiale</w:t>
      </w:r>
      <w:r w:rsidR="0012447F" w:rsidRPr="0012447F">
        <w:rPr>
          <w:rFonts w:asciiTheme="minorHAnsi" w:hAnsiTheme="minorHAnsi" w:cstheme="minorHAnsi"/>
          <w:sz w:val="22"/>
          <w:szCs w:val="22"/>
        </w:rPr>
        <w:t xml:space="preserve"> il decreto che istituisce il nuovo Ecosistema dei dati sanitari.</w:t>
      </w:r>
    </w:p>
    <w:p w14:paraId="12758571" w14:textId="39BCE601" w:rsidR="009476CC" w:rsidRDefault="00DB5F51" w:rsidP="00FA0619">
      <w:pPr>
        <w:pStyle w:val="Normale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F51">
        <w:rPr>
          <w:rStyle w:val="Enfasigrassetto"/>
          <w:rFonts w:asciiTheme="minorHAnsi" w:hAnsiTheme="minorHAnsi" w:cstheme="minorHAnsi"/>
          <w:sz w:val="22"/>
          <w:szCs w:val="22"/>
        </w:rPr>
        <w:t>Formazione su competenze e ab</w:t>
      </w:r>
      <w:r>
        <w:rPr>
          <w:rStyle w:val="Enfasigrassetto"/>
          <w:rFonts w:asciiTheme="minorHAnsi" w:hAnsiTheme="minorHAnsi" w:cstheme="minorHAnsi"/>
          <w:sz w:val="22"/>
          <w:szCs w:val="22"/>
        </w:rPr>
        <w:t xml:space="preserve">ilità di management e digitali </w:t>
      </w:r>
      <w:r w:rsidR="00B21DAE" w:rsidRPr="00B21DAE">
        <w:rPr>
          <w:rStyle w:val="Enfasigrassetto"/>
          <w:rFonts w:asciiTheme="minorHAnsi" w:hAnsiTheme="minorHAnsi" w:cstheme="minorHAnsi"/>
          <w:sz w:val="22"/>
          <w:szCs w:val="22"/>
        </w:rPr>
        <w:t>per 4.500 professionisti sanitari</w:t>
      </w:r>
      <w:r w:rsidR="002B2760">
        <w:rPr>
          <w:rStyle w:val="Enfasigrassetto"/>
          <w:rFonts w:asciiTheme="minorHAnsi" w:hAnsiTheme="minorHAnsi" w:cstheme="minorHAnsi"/>
          <w:sz w:val="22"/>
          <w:szCs w:val="22"/>
        </w:rPr>
        <w:t>.</w:t>
      </w:r>
      <w:r w:rsidR="00B21DAE">
        <w:rPr>
          <w:rFonts w:asciiTheme="minorHAnsi" w:hAnsiTheme="minorHAnsi" w:cstheme="minorHAnsi"/>
          <w:sz w:val="22"/>
          <w:szCs w:val="22"/>
        </w:rPr>
        <w:t xml:space="preserve"> </w:t>
      </w:r>
      <w:r w:rsidR="00B21DAE" w:rsidRPr="00B21DAE">
        <w:rPr>
          <w:rFonts w:asciiTheme="minorHAnsi" w:hAnsiTheme="minorHAnsi" w:cstheme="minorHAnsi"/>
          <w:sz w:val="22"/>
          <w:szCs w:val="22"/>
        </w:rPr>
        <w:t xml:space="preserve">Anche per questo obiettivo, da raggiungere entro giugno 2026, non sono disponibili dati pubblici sul numero di professionisti che hanno </w:t>
      </w:r>
      <w:r w:rsidR="00CC31CD">
        <w:rPr>
          <w:rFonts w:asciiTheme="minorHAnsi" w:hAnsiTheme="minorHAnsi" w:cstheme="minorHAnsi"/>
          <w:sz w:val="22"/>
          <w:szCs w:val="22"/>
        </w:rPr>
        <w:t xml:space="preserve">già </w:t>
      </w:r>
      <w:r w:rsidR="00B21DAE" w:rsidRPr="00B21DAE">
        <w:rPr>
          <w:rFonts w:asciiTheme="minorHAnsi" w:hAnsiTheme="minorHAnsi" w:cstheme="minorHAnsi"/>
          <w:sz w:val="22"/>
          <w:szCs w:val="22"/>
        </w:rPr>
        <w:t xml:space="preserve">completato la formazione. </w:t>
      </w:r>
    </w:p>
    <w:p w14:paraId="77CD7A61" w14:textId="2885ABD6" w:rsidR="00144A96" w:rsidRPr="00EF202E" w:rsidRDefault="00607B1B" w:rsidP="00607B1B">
      <w:pPr>
        <w:jc w:val="both"/>
        <w:rPr>
          <w:rFonts w:cstheme="minorHAnsi"/>
        </w:rPr>
      </w:pPr>
      <w:r w:rsidRPr="000A55FA">
        <w:rPr>
          <w:rFonts w:cstheme="minorHAnsi"/>
        </w:rPr>
        <w:t>«</w:t>
      </w:r>
      <w:r w:rsidR="00AD1DCB">
        <w:rPr>
          <w:rFonts w:cstheme="minorHAnsi"/>
        </w:rPr>
        <w:t xml:space="preserve">La volata finale della Missione Salute </w:t>
      </w:r>
      <w:r w:rsidRPr="006600BA">
        <w:t>–</w:t>
      </w:r>
      <w:r w:rsidRPr="000A55FA">
        <w:rPr>
          <w:rFonts w:cstheme="minorHAnsi"/>
        </w:rPr>
        <w:t xml:space="preserve"> </w:t>
      </w:r>
      <w:r w:rsidR="00AD1DCB">
        <w:rPr>
          <w:rFonts w:cstheme="minorHAnsi"/>
        </w:rPr>
        <w:t xml:space="preserve">commenta Cartabellotta </w:t>
      </w:r>
      <w:r w:rsidRPr="006600BA">
        <w:t>–</w:t>
      </w:r>
      <w:r w:rsidR="00AD1DCB">
        <w:t xml:space="preserve"> non può </w:t>
      </w:r>
      <w:r w:rsidR="00144A96">
        <w:t xml:space="preserve">trasformarsi in un </w:t>
      </w:r>
      <w:r w:rsidR="00AD1DCB">
        <w:t xml:space="preserve">terreno di scontro politico perché le responsabilità </w:t>
      </w:r>
      <w:r w:rsidR="00B9456E">
        <w:t>ricadono su</w:t>
      </w:r>
      <w:r w:rsidR="00AD1DCB">
        <w:t xml:space="preserve"> tutti: </w:t>
      </w:r>
      <w:r w:rsidR="00B9456E">
        <w:t xml:space="preserve">sul </w:t>
      </w:r>
      <w:r w:rsidR="00AD1DCB">
        <w:t>Governo Conte che, complice la ristrettezza dei tempi e la pandemia</w:t>
      </w:r>
      <w:r w:rsidR="00B9456E">
        <w:t xml:space="preserve"> in corso</w:t>
      </w:r>
      <w:r w:rsidR="00AD1DCB">
        <w:t xml:space="preserve">, non ha previsto un monitoraggio più </w:t>
      </w:r>
      <w:r w:rsidR="00BF34BB">
        <w:t xml:space="preserve">rigoroso e ravvicinato </w:t>
      </w:r>
      <w:r w:rsidR="006B2D51">
        <w:t xml:space="preserve">di </w:t>
      </w:r>
      <w:r w:rsidR="00144A96">
        <w:t xml:space="preserve">vari </w:t>
      </w:r>
      <w:r w:rsidR="00AD1DCB">
        <w:t xml:space="preserve">target; </w:t>
      </w:r>
      <w:r w:rsidR="00B9456E">
        <w:t xml:space="preserve">sul </w:t>
      </w:r>
      <w:r w:rsidR="00AD1DCB">
        <w:t>Governo Meloni</w:t>
      </w:r>
      <w:r w:rsidR="00B9456E">
        <w:t>,</w:t>
      </w:r>
      <w:r w:rsidR="00AD1DCB">
        <w:t xml:space="preserve"> che ha </w:t>
      </w:r>
      <w:r w:rsidR="003B6120">
        <w:t xml:space="preserve">prima </w:t>
      </w:r>
      <w:r w:rsidR="00AD1DCB">
        <w:t>tentennato sull’utilità reale di alcune misure (es. Case di Comunità)</w:t>
      </w:r>
      <w:r w:rsidR="003B6120">
        <w:t xml:space="preserve"> e </w:t>
      </w:r>
      <w:r w:rsidR="006C035E">
        <w:t xml:space="preserve">poi </w:t>
      </w:r>
      <w:r w:rsidR="003B6120">
        <w:t xml:space="preserve">si </w:t>
      </w:r>
      <w:r w:rsidR="006C035E">
        <w:t xml:space="preserve">è </w:t>
      </w:r>
      <w:r w:rsidR="003B6120">
        <w:t>limita</w:t>
      </w:r>
      <w:r w:rsidR="006C035E">
        <w:t>to</w:t>
      </w:r>
      <w:r w:rsidR="003B6120">
        <w:t xml:space="preserve"> a celebrare l’incasso delle rate, senza </w:t>
      </w:r>
      <w:r w:rsidR="00B9456E">
        <w:t xml:space="preserve">esercitare una pressione costante su Regioni e ASL, </w:t>
      </w:r>
      <w:r w:rsidR="00EC38DB">
        <w:t>i</w:t>
      </w:r>
      <w:r w:rsidR="00144A96">
        <w:t xml:space="preserve"> </w:t>
      </w:r>
      <w:r w:rsidR="00EC38DB">
        <w:t>“</w:t>
      </w:r>
      <w:r w:rsidR="00B9456E">
        <w:t xml:space="preserve">soggetti </w:t>
      </w:r>
      <w:r w:rsidR="00EC38DB">
        <w:t xml:space="preserve">attuatori” </w:t>
      </w:r>
      <w:r w:rsidR="00144A96">
        <w:t>chiamati a</w:t>
      </w:r>
      <w:r w:rsidR="00B9456E">
        <w:t xml:space="preserve"> portare a termine i progetti. La responsabilità della volata finale è collettiva </w:t>
      </w:r>
      <w:r w:rsidR="00144A96">
        <w:t>e impone</w:t>
      </w:r>
      <w:r w:rsidR="00BF34BB">
        <w:t xml:space="preserve"> una convergenza di sforzi, senza </w:t>
      </w:r>
      <w:r w:rsidR="00144A96">
        <w:t xml:space="preserve">spazio per </w:t>
      </w:r>
      <w:r w:rsidR="006B2D51">
        <w:t xml:space="preserve">giocare a </w:t>
      </w:r>
      <w:r w:rsidR="00B9456E">
        <w:t>scaricabarile».</w:t>
      </w:r>
    </w:p>
    <w:p w14:paraId="6B30805D" w14:textId="62E4C85F" w:rsidR="00144A96" w:rsidRPr="00902050" w:rsidRDefault="00916C10" w:rsidP="002E431F">
      <w:pPr>
        <w:jc w:val="both"/>
      </w:pPr>
      <w:r w:rsidRPr="004F5602">
        <w:rPr>
          <w:rFonts w:cstheme="minorHAnsi"/>
        </w:rPr>
        <w:t>«</w:t>
      </w:r>
      <w:r>
        <w:rPr>
          <w:rFonts w:cstheme="minorHAnsi"/>
        </w:rPr>
        <w:t xml:space="preserve">A 11 mesi dalla rendicontazione finale della Missione Salute del PNRR </w:t>
      </w:r>
      <w:r w:rsidRPr="004F5602">
        <w:rPr>
          <w:rFonts w:cstheme="minorHAnsi"/>
        </w:rPr>
        <w:t xml:space="preserve">– </w:t>
      </w:r>
      <w:r>
        <w:rPr>
          <w:rFonts w:cstheme="minorHAnsi"/>
        </w:rPr>
        <w:t>conclude</w:t>
      </w:r>
      <w:r w:rsidRPr="004F5602">
        <w:rPr>
          <w:rFonts w:cstheme="minorHAnsi"/>
        </w:rPr>
        <w:t xml:space="preserve"> Cartabellotta –</w:t>
      </w:r>
      <w:r>
        <w:rPr>
          <w:rFonts w:cstheme="minorHAnsi"/>
        </w:rPr>
        <w:t xml:space="preserve"> </w:t>
      </w:r>
      <w:r w:rsidR="00C4243B">
        <w:rPr>
          <w:rFonts w:cstheme="minorHAnsi"/>
        </w:rPr>
        <w:t>5</w:t>
      </w:r>
      <w:r w:rsidR="00B9456E">
        <w:rPr>
          <w:rFonts w:cstheme="minorHAnsi"/>
        </w:rPr>
        <w:t xml:space="preserve"> </w:t>
      </w:r>
      <w:r>
        <w:rPr>
          <w:rFonts w:cstheme="minorHAnsi"/>
        </w:rPr>
        <w:t xml:space="preserve">dei 14 </w:t>
      </w:r>
      <w:r w:rsidR="00D1753F">
        <w:rPr>
          <w:rFonts w:cstheme="minorHAnsi"/>
        </w:rPr>
        <w:t>target</w:t>
      </w:r>
      <w:r>
        <w:rPr>
          <w:rFonts w:cstheme="minorHAnsi"/>
        </w:rPr>
        <w:t xml:space="preserve"> presentano ritardi </w:t>
      </w:r>
      <w:r w:rsidR="00D1753F">
        <w:rPr>
          <w:rFonts w:cstheme="minorHAnsi"/>
        </w:rPr>
        <w:t xml:space="preserve">di attuazione, di cui 2 particolarmente </w:t>
      </w:r>
      <w:r w:rsidR="00B9456E">
        <w:rPr>
          <w:rFonts w:cstheme="minorHAnsi"/>
        </w:rPr>
        <w:t xml:space="preserve">critici </w:t>
      </w:r>
      <w:r w:rsidR="00D1753F">
        <w:rPr>
          <w:rFonts w:cstheme="minorHAnsi"/>
        </w:rPr>
        <w:t>(Case e Ospedali di Comunità)</w:t>
      </w:r>
      <w:r w:rsidR="00B9456E">
        <w:rPr>
          <w:rFonts w:cstheme="minorHAnsi"/>
        </w:rPr>
        <w:t>, mentre</w:t>
      </w:r>
      <w:r w:rsidR="00D1753F">
        <w:rPr>
          <w:rFonts w:cstheme="minorHAnsi"/>
        </w:rPr>
        <w:t xml:space="preserve"> p</w:t>
      </w:r>
      <w:r>
        <w:rPr>
          <w:rFonts w:cstheme="minorHAnsi"/>
        </w:rPr>
        <w:t>er</w:t>
      </w:r>
      <w:r w:rsidR="00157182">
        <w:rPr>
          <w:rFonts w:cstheme="minorHAnsi"/>
        </w:rPr>
        <w:t xml:space="preserve"> </w:t>
      </w:r>
      <w:r w:rsidR="00C424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E631CD">
        <w:rPr>
          <w:rFonts w:cstheme="minorHAnsi"/>
        </w:rPr>
        <w:t xml:space="preserve">target è </w:t>
      </w:r>
      <w:r w:rsidR="00E631CD">
        <w:t>im</w:t>
      </w:r>
      <w:r w:rsidR="00B9456E">
        <w:t>possibile effettuare una valutazione indipendente per mancanza di dati pubblici</w:t>
      </w:r>
      <w:r>
        <w:rPr>
          <w:rFonts w:cstheme="minorHAnsi"/>
        </w:rPr>
        <w:t xml:space="preserve">. </w:t>
      </w:r>
      <w:r w:rsidR="00D1753F">
        <w:rPr>
          <w:rFonts w:cstheme="minorHAnsi"/>
        </w:rPr>
        <w:t xml:space="preserve">La Fondazione GIMBE invoca una stretta collaborazione tra Governo, Regioni e ASL al fine di completare con successo </w:t>
      </w:r>
      <w:r w:rsidR="00B9456E">
        <w:rPr>
          <w:rFonts w:cstheme="minorHAnsi"/>
        </w:rPr>
        <w:t>il percorso</w:t>
      </w:r>
      <w:r w:rsidR="00D1753F">
        <w:rPr>
          <w:rFonts w:cstheme="minorHAnsi"/>
        </w:rPr>
        <w:t xml:space="preserve"> ed evitare tre rischi che il Paese non può permettersi. </w:t>
      </w:r>
      <w:r>
        <w:rPr>
          <w:rFonts w:cstheme="minorHAnsi"/>
        </w:rPr>
        <w:t>Il primo</w:t>
      </w:r>
      <w:r w:rsidR="00E631CD">
        <w:rPr>
          <w:rFonts w:cstheme="minorHAnsi"/>
        </w:rPr>
        <w:t xml:space="preserve">, </w:t>
      </w:r>
      <w:r w:rsidR="00144A96">
        <w:rPr>
          <w:rFonts w:cstheme="minorHAnsi"/>
        </w:rPr>
        <w:t xml:space="preserve">assolutamente </w:t>
      </w:r>
      <w:r w:rsidR="00E631CD">
        <w:rPr>
          <w:rFonts w:cstheme="minorHAnsi"/>
        </w:rPr>
        <w:t xml:space="preserve">da scongiurare, </w:t>
      </w:r>
      <w:r>
        <w:rPr>
          <w:rFonts w:cstheme="minorHAnsi"/>
        </w:rPr>
        <w:t>è</w:t>
      </w:r>
      <w:r w:rsidR="00144A96">
        <w:rPr>
          <w:rFonts w:cstheme="minorHAnsi"/>
        </w:rPr>
        <w:t xml:space="preserve"> di</w:t>
      </w:r>
      <w:r>
        <w:rPr>
          <w:rFonts w:cstheme="minorHAnsi"/>
        </w:rPr>
        <w:t xml:space="preserve"> non raggiungere i target </w:t>
      </w:r>
      <w:r w:rsidR="00B9456E">
        <w:rPr>
          <w:rFonts w:cstheme="minorHAnsi"/>
        </w:rPr>
        <w:t xml:space="preserve">europei </w:t>
      </w:r>
      <w:r>
        <w:rPr>
          <w:rFonts w:cstheme="minorHAnsi"/>
        </w:rPr>
        <w:t>e dover restituire il contributo a fondo perduto. Il secondo</w:t>
      </w:r>
      <w:r w:rsidR="00E631CD">
        <w:rPr>
          <w:rFonts w:cstheme="minorHAnsi"/>
        </w:rPr>
        <w:t>, difficile da neutralizzare,</w:t>
      </w:r>
      <w:r>
        <w:rPr>
          <w:rFonts w:cstheme="minorHAnsi"/>
        </w:rPr>
        <w:t xml:space="preserve"> è </w:t>
      </w:r>
      <w:r w:rsidR="00E631CD">
        <w:rPr>
          <w:rFonts w:cstheme="minorHAnsi"/>
        </w:rPr>
        <w:t xml:space="preserve">di </w:t>
      </w:r>
      <w:r>
        <w:rPr>
          <w:rFonts w:cstheme="minorHAnsi"/>
        </w:rPr>
        <w:t>raggiungere il target nazionale</w:t>
      </w:r>
      <w:r w:rsidR="00E631CD">
        <w:rPr>
          <w:rFonts w:cstheme="minorHAnsi"/>
        </w:rPr>
        <w:t xml:space="preserve"> </w:t>
      </w:r>
      <w:r>
        <w:rPr>
          <w:rFonts w:cstheme="minorHAnsi"/>
        </w:rPr>
        <w:t xml:space="preserve">senza ridurre le diseguaglianze regionali e territoriali, </w:t>
      </w:r>
      <w:r w:rsidR="00E631CD">
        <w:rPr>
          <w:rFonts w:cstheme="minorHAnsi"/>
        </w:rPr>
        <w:t xml:space="preserve">aumentando ulteriormente il </w:t>
      </w:r>
      <w:r w:rsidR="00144A96">
        <w:rPr>
          <w:rFonts w:cstheme="minorHAnsi"/>
        </w:rPr>
        <w:t xml:space="preserve">divario </w:t>
      </w:r>
      <w:r w:rsidR="00E631CD">
        <w:rPr>
          <w:rFonts w:cstheme="minorHAnsi"/>
        </w:rPr>
        <w:t>Nord-Sud</w:t>
      </w:r>
      <w:r>
        <w:rPr>
          <w:rFonts w:cstheme="minorHAnsi"/>
        </w:rPr>
        <w:t>. Il terzo</w:t>
      </w:r>
      <w:r w:rsidR="00B9456E">
        <w:rPr>
          <w:rFonts w:cstheme="minorHAnsi"/>
        </w:rPr>
        <w:t xml:space="preserve">, </w:t>
      </w:r>
      <w:r w:rsidR="00144A96">
        <w:rPr>
          <w:rFonts w:cstheme="minorHAnsi"/>
        </w:rPr>
        <w:t xml:space="preserve">il più </w:t>
      </w:r>
      <w:r w:rsidR="00E631CD">
        <w:rPr>
          <w:rFonts w:cstheme="minorHAnsi"/>
        </w:rPr>
        <w:t>paradossale</w:t>
      </w:r>
      <w:r w:rsidR="00B9456E">
        <w:rPr>
          <w:rFonts w:cstheme="minorHAnsi"/>
        </w:rPr>
        <w:t xml:space="preserve">, </w:t>
      </w:r>
      <w:r>
        <w:rPr>
          <w:rFonts w:cstheme="minorHAnsi"/>
        </w:rPr>
        <w:t xml:space="preserve">è </w:t>
      </w:r>
      <w:r w:rsidR="00B9456E">
        <w:rPr>
          <w:rFonts w:cstheme="minorHAnsi"/>
        </w:rPr>
        <w:t xml:space="preserve">di incassare </w:t>
      </w:r>
      <w:r w:rsidR="00BF34BB">
        <w:rPr>
          <w:rFonts w:cstheme="minorHAnsi"/>
        </w:rPr>
        <w:t xml:space="preserve">le rate </w:t>
      </w:r>
      <w:r>
        <w:rPr>
          <w:rFonts w:cstheme="minorHAnsi"/>
        </w:rPr>
        <w:t xml:space="preserve">senza </w:t>
      </w:r>
      <w:r w:rsidR="00B9456E">
        <w:rPr>
          <w:rFonts w:cstheme="minorHAnsi"/>
        </w:rPr>
        <w:t xml:space="preserve">generare </w:t>
      </w:r>
      <w:r w:rsidR="00E631CD">
        <w:rPr>
          <w:rFonts w:cstheme="minorHAnsi"/>
        </w:rPr>
        <w:t xml:space="preserve">alcun </w:t>
      </w:r>
      <w:r>
        <w:rPr>
          <w:rFonts w:cstheme="minorHAnsi"/>
        </w:rPr>
        <w:t>benefic</w:t>
      </w:r>
      <w:r w:rsidR="00E631CD">
        <w:rPr>
          <w:rFonts w:cstheme="minorHAnsi"/>
        </w:rPr>
        <w:t>io</w:t>
      </w:r>
      <w:r>
        <w:rPr>
          <w:rFonts w:cstheme="minorHAnsi"/>
        </w:rPr>
        <w:t xml:space="preserve"> per cittadini e pazienti, </w:t>
      </w:r>
      <w:r>
        <w:t xml:space="preserve">lasciando in eredità </w:t>
      </w:r>
      <w:r w:rsidR="00157182">
        <w:t xml:space="preserve">alle future generazioni </w:t>
      </w:r>
      <w:r w:rsidR="00B9456E">
        <w:t xml:space="preserve">strutture </w:t>
      </w:r>
      <w:r>
        <w:t>vuote</w:t>
      </w:r>
      <w:r w:rsidR="00157182">
        <w:t xml:space="preserve">, </w:t>
      </w:r>
      <w:r>
        <w:t>tecnologie digitali non integrate nel SSN</w:t>
      </w:r>
      <w:r w:rsidR="00157182">
        <w:t xml:space="preserve"> e, </w:t>
      </w:r>
      <w:r w:rsidR="00157182">
        <w:rPr>
          <w:i/>
          <w:iCs/>
        </w:rPr>
        <w:t xml:space="preserve">last </w:t>
      </w:r>
      <w:proofErr w:type="spellStart"/>
      <w:r w:rsidR="000C1283">
        <w:rPr>
          <w:i/>
          <w:iCs/>
        </w:rPr>
        <w:t>but</w:t>
      </w:r>
      <w:proofErr w:type="spellEnd"/>
      <w:r w:rsidR="000C1283">
        <w:rPr>
          <w:i/>
          <w:iCs/>
        </w:rPr>
        <w:t xml:space="preserve"> </w:t>
      </w:r>
      <w:proofErr w:type="spellStart"/>
      <w:r w:rsidR="00DE32A7">
        <w:rPr>
          <w:i/>
          <w:iCs/>
        </w:rPr>
        <w:t>not</w:t>
      </w:r>
      <w:proofErr w:type="spellEnd"/>
      <w:r w:rsidR="00DE32A7">
        <w:rPr>
          <w:i/>
          <w:iCs/>
        </w:rPr>
        <w:t xml:space="preserve"> </w:t>
      </w:r>
      <w:proofErr w:type="spellStart"/>
      <w:r w:rsidR="00157182">
        <w:rPr>
          <w:i/>
          <w:iCs/>
        </w:rPr>
        <w:t>least</w:t>
      </w:r>
      <w:proofErr w:type="spellEnd"/>
      <w:r w:rsidR="00157182">
        <w:rPr>
          <w:i/>
          <w:iCs/>
        </w:rPr>
        <w:t xml:space="preserve">, </w:t>
      </w:r>
      <w:r w:rsidR="00157182">
        <w:t xml:space="preserve">un </w:t>
      </w:r>
      <w:r w:rsidR="00B9456E" w:rsidRPr="00EA690D">
        <w:t xml:space="preserve">pesante </w:t>
      </w:r>
      <w:r>
        <w:t>indebitamento</w:t>
      </w:r>
      <w:r w:rsidR="006C035E">
        <w:t xml:space="preserve">. </w:t>
      </w:r>
      <w:r w:rsidR="00057831">
        <w:t xml:space="preserve">Sprecando </w:t>
      </w:r>
      <w:r w:rsidR="006C035E">
        <w:t>un’occasione irripetibile per</w:t>
      </w:r>
      <w:r w:rsidR="00057831">
        <w:t xml:space="preserve"> rafforzare la </w:t>
      </w:r>
      <w:r w:rsidR="006C035E">
        <w:t>sanità pubblica</w:t>
      </w:r>
      <w:r w:rsidRPr="00A671D3">
        <w:t>»</w:t>
      </w:r>
      <w:r>
        <w:t>.</w:t>
      </w:r>
    </w:p>
    <w:p w14:paraId="11FC886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00A5CEC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F0870DE" w14:textId="75A1C849" w:rsidR="001A2D1A" w:rsidRDefault="00FD63E4" w:rsidP="00A720C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1" w:history="1">
        <w:r w:rsidRPr="005240BD">
          <w:rPr>
            <w:rFonts w:eastAsia="Calibri" w:cstheme="minorHAnsi"/>
          </w:rPr>
          <w:t>ufficio.stampa@gimbe.org</w:t>
        </w:r>
      </w:hyperlink>
    </w:p>
    <w:p w14:paraId="02DABF19" w14:textId="77777777" w:rsidR="00112CB1" w:rsidRDefault="00112CB1" w:rsidP="001A2D1A">
      <w:pPr>
        <w:spacing w:after="0"/>
        <w:jc w:val="center"/>
        <w:rPr>
          <w:b/>
          <w:bCs/>
          <w:color w:val="00457D"/>
          <w:u w:color="00457D"/>
        </w:rPr>
        <w:sectPr w:rsidR="00112CB1" w:rsidSect="00E13656">
          <w:head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938311B" w14:textId="77777777" w:rsidR="00112CB1" w:rsidRPr="00F04BF0" w:rsidRDefault="00112CB1" w:rsidP="00112CB1">
      <w:pPr>
        <w:jc w:val="center"/>
        <w:rPr>
          <w:b/>
          <w:bCs/>
          <w:color w:val="00457D"/>
          <w:sz w:val="24"/>
          <w:szCs w:val="24"/>
        </w:rPr>
      </w:pPr>
      <w:r w:rsidRPr="00F04BF0">
        <w:rPr>
          <w:b/>
          <w:bCs/>
          <w:color w:val="00457D"/>
          <w:sz w:val="24"/>
          <w:szCs w:val="24"/>
        </w:rPr>
        <w:lastRenderedPageBreak/>
        <w:t xml:space="preserve">Tabella 1. PNRR Missione Salute: target </w:t>
      </w:r>
      <w:r>
        <w:rPr>
          <w:b/>
          <w:bCs/>
          <w:color w:val="00457D"/>
          <w:sz w:val="24"/>
          <w:szCs w:val="24"/>
        </w:rPr>
        <w:t>da raggiungere entro il 30</w:t>
      </w:r>
      <w:r w:rsidRPr="00F04BF0">
        <w:rPr>
          <w:b/>
          <w:bCs/>
          <w:color w:val="00457D"/>
          <w:sz w:val="24"/>
          <w:szCs w:val="24"/>
        </w:rPr>
        <w:t xml:space="preserve"> </w:t>
      </w:r>
      <w:r>
        <w:rPr>
          <w:b/>
          <w:bCs/>
          <w:color w:val="00457D"/>
          <w:sz w:val="24"/>
          <w:szCs w:val="24"/>
        </w:rPr>
        <w:t xml:space="preserve">giugno </w:t>
      </w:r>
      <w:r w:rsidRPr="00F04BF0">
        <w:rPr>
          <w:b/>
          <w:bCs/>
          <w:color w:val="00457D"/>
          <w:sz w:val="24"/>
          <w:szCs w:val="24"/>
        </w:rPr>
        <w:t>202</w:t>
      </w:r>
      <w:r>
        <w:rPr>
          <w:b/>
          <w:bCs/>
          <w:color w:val="00457D"/>
          <w:sz w:val="24"/>
          <w:szCs w:val="24"/>
        </w:rPr>
        <w:t>6</w:t>
      </w:r>
    </w:p>
    <w:tbl>
      <w:tblPr>
        <w:tblStyle w:val="Grigliatabella"/>
        <w:tblW w:w="5000" w:type="pct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3"/>
        <w:gridCol w:w="3061"/>
        <w:gridCol w:w="6499"/>
        <w:gridCol w:w="870"/>
        <w:gridCol w:w="1558"/>
      </w:tblGrid>
      <w:tr w:rsidR="00112CB1" w:rsidRPr="000C2DD6" w14:paraId="4B4CFDB2" w14:textId="77777777" w:rsidTr="008F2992">
        <w:trPr>
          <w:cantSplit/>
          <w:tblHeader/>
        </w:trPr>
        <w:tc>
          <w:tcPr>
            <w:tcW w:w="892" w:type="pct"/>
            <w:tcBorders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1BC0A4F0" w14:textId="77777777" w:rsidR="00112CB1" w:rsidRPr="00FA08FA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204074298"/>
            <w:r w:rsidRPr="00FA08FA">
              <w:rPr>
                <w:rFonts w:cstheme="minorHAns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04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488453A5" w14:textId="77777777" w:rsidR="00112CB1" w:rsidRPr="00FA08FA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08FA"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525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1789AD39" w14:textId="77777777" w:rsidR="00112CB1" w:rsidRPr="00FA08FA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08FA">
              <w:rPr>
                <w:rFonts w:cs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534" w:type="pct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17C713BD" w14:textId="77777777" w:rsidR="00112CB1" w:rsidRPr="00FA08FA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08FA">
              <w:rPr>
                <w:rFonts w:cstheme="minorHAnsi"/>
                <w:b/>
                <w:bCs/>
                <w:sz w:val="20"/>
                <w:szCs w:val="20"/>
              </w:rPr>
              <w:t xml:space="preserve">Fonte </w:t>
            </w:r>
          </w:p>
        </w:tc>
      </w:tr>
      <w:tr w:rsidR="00112CB1" w:rsidRPr="006433E3" w14:paraId="0F33FE32" w14:textId="77777777" w:rsidTr="008F2992">
        <w:trPr>
          <w:cantSplit/>
        </w:trPr>
        <w:tc>
          <w:tcPr>
            <w:tcW w:w="5000" w:type="pct"/>
            <w:gridSpan w:val="5"/>
            <w:shd w:val="clear" w:color="auto" w:fill="B6DDE8" w:themeFill="accent5" w:themeFillTint="66"/>
          </w:tcPr>
          <w:p w14:paraId="63AD6CCE" w14:textId="77777777" w:rsidR="00112CB1" w:rsidRPr="006433E3" w:rsidRDefault="00112CB1" w:rsidP="008F299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457D"/>
                <w:sz w:val="20"/>
                <w:szCs w:val="20"/>
              </w:rPr>
              <w:t>C</w:t>
            </w:r>
            <w:r w:rsidRPr="006433E3">
              <w:rPr>
                <w:b/>
                <w:bCs/>
                <w:color w:val="00457D"/>
                <w:sz w:val="20"/>
                <w:szCs w:val="20"/>
              </w:rPr>
              <w:t>on scadenza 31 dicembre 2025</w:t>
            </w:r>
          </w:p>
        </w:tc>
      </w:tr>
      <w:tr w:rsidR="00112CB1" w:rsidRPr="000C2DD6" w14:paraId="67DED0C1" w14:textId="77777777" w:rsidTr="008F2992">
        <w:trPr>
          <w:cantSplit/>
        </w:trPr>
        <w:tc>
          <w:tcPr>
            <w:tcW w:w="892" w:type="pct"/>
          </w:tcPr>
          <w:p w14:paraId="58AB7218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Telemedicina</w:t>
            </w:r>
          </w:p>
        </w:tc>
        <w:tc>
          <w:tcPr>
            <w:tcW w:w="1049" w:type="pct"/>
          </w:tcPr>
          <w:p w14:paraId="4444E9D2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Almeno 300.000 persone assistite con strumenti di telemedicina</w:t>
            </w:r>
          </w:p>
        </w:tc>
        <w:tc>
          <w:tcPr>
            <w:tcW w:w="2227" w:type="pct"/>
          </w:tcPr>
          <w:p w14:paraId="22CAF4BC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essun dato disponibile </w:t>
            </w:r>
            <w:r w:rsidRPr="00FA08FA">
              <w:rPr>
                <w:sz w:val="20"/>
                <w:szCs w:val="20"/>
              </w:rPr>
              <w:t>sul n</w:t>
            </w:r>
            <w:r>
              <w:rPr>
                <w:sz w:val="20"/>
                <w:szCs w:val="20"/>
              </w:rPr>
              <w:t xml:space="preserve">umero </w:t>
            </w:r>
            <w:r w:rsidRPr="00FA08FA">
              <w:rPr>
                <w:sz w:val="20"/>
                <w:szCs w:val="20"/>
              </w:rPr>
              <w:t>di pazienti assistiti in telemedicina.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A08FA">
              <w:rPr>
                <w:sz w:val="20"/>
                <w:szCs w:val="20"/>
              </w:rPr>
              <w:t>All’inizio del 2025 è stata avviata la raccolta dati sulla Piattaforma di Telemedicina e sono state completate le gare per infrastrutture e postazioni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F1B82CC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3017F5">
              <w:rPr>
                <w:rFonts w:cstheme="minorHAnsi"/>
                <w:noProof/>
                <w:color w:val="BFBFBF" w:themeColor="background1" w:themeShade="BF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3D75B649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112CB1" w:rsidRPr="00FA08FA">
                <w:rPr>
                  <w:rStyle w:val="Collegamentoipertestuale"/>
                  <w:sz w:val="20"/>
                  <w:szCs w:val="20"/>
                </w:rPr>
                <w:t xml:space="preserve">Agenas, </w:t>
              </w:r>
              <w:r w:rsidR="00112CB1" w:rsidRPr="00FA08FA">
                <w:rPr>
                  <w:rStyle w:val="Collegamentoipertestuale"/>
                  <w:sz w:val="20"/>
                  <w:szCs w:val="20"/>
                </w:rPr>
                <w:br/>
                <w:t>4 febbraio 2025</w:t>
              </w:r>
            </w:hyperlink>
          </w:p>
        </w:tc>
      </w:tr>
      <w:tr w:rsidR="00112CB1" w:rsidRPr="000C2DD6" w14:paraId="70EC7277" w14:textId="77777777" w:rsidTr="008F2992">
        <w:trPr>
          <w:cantSplit/>
        </w:trPr>
        <w:tc>
          <w:tcPr>
            <w:tcW w:w="892" w:type="pct"/>
          </w:tcPr>
          <w:p w14:paraId="69FB6BD4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 xml:space="preserve">Digitalizzazione ospedali </w:t>
            </w:r>
          </w:p>
        </w:tc>
        <w:tc>
          <w:tcPr>
            <w:tcW w:w="1049" w:type="pct"/>
          </w:tcPr>
          <w:p w14:paraId="6D649D8C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Digitalizzazione di 280 strutture ospedaliere sede di DEA di I e II livello</w:t>
            </w:r>
          </w:p>
        </w:tc>
        <w:tc>
          <w:tcPr>
            <w:tcW w:w="2227" w:type="pct"/>
          </w:tcPr>
          <w:p w14:paraId="47FCF587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sz w:val="20"/>
                <w:szCs w:val="20"/>
              </w:rPr>
              <w:t>Nessun dato disponibile sugli ospedali già digitalizzati.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A08FA">
              <w:rPr>
                <w:sz w:val="20"/>
                <w:szCs w:val="20"/>
              </w:rPr>
              <w:t>Tutti gli appalti pubblici risultano aggiudicati, ma al 25 febbraio 2025 gli importi fatturati a livello nazionale sono il 21%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E6404A6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3017F5">
              <w:rPr>
                <w:rFonts w:cstheme="minorHAnsi"/>
                <w:noProof/>
                <w:color w:val="BFBFBF" w:themeColor="background1" w:themeShade="BF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6E132E84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112CB1" w:rsidRPr="00FA08FA">
                <w:rPr>
                  <w:rStyle w:val="Collegamentoipertestuale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0C2DD6" w14:paraId="1295DC56" w14:textId="77777777" w:rsidTr="008F2992">
        <w:trPr>
          <w:cantSplit/>
        </w:trPr>
        <w:tc>
          <w:tcPr>
            <w:tcW w:w="892" w:type="pct"/>
          </w:tcPr>
          <w:p w14:paraId="39F02A74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Fascicolo Sanitario Elettronico</w:t>
            </w:r>
          </w:p>
        </w:tc>
        <w:tc>
          <w:tcPr>
            <w:tcW w:w="1049" w:type="pct"/>
          </w:tcPr>
          <w:p w14:paraId="4D997B48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Almeno l’85% dei </w:t>
            </w:r>
            <w:r>
              <w:rPr>
                <w:rFonts w:cstheme="minorHAnsi"/>
                <w:sz w:val="20"/>
                <w:szCs w:val="20"/>
              </w:rPr>
              <w:t>MMG</w:t>
            </w:r>
            <w:r w:rsidRPr="00FA08FA">
              <w:rPr>
                <w:rFonts w:cstheme="minorHAnsi"/>
                <w:sz w:val="20"/>
                <w:szCs w:val="20"/>
              </w:rPr>
              <w:t xml:space="preserve"> alimentano il FSE</w:t>
            </w:r>
          </w:p>
        </w:tc>
        <w:tc>
          <w:tcPr>
            <w:tcW w:w="2227" w:type="pct"/>
          </w:tcPr>
          <w:p w14:paraId="141B5C84" w14:textId="77777777" w:rsidR="00112CB1" w:rsidRPr="00FA08FA" w:rsidRDefault="00112CB1" w:rsidP="008F2992">
            <w:pPr>
              <w:rPr>
                <w:sz w:val="20"/>
                <w:szCs w:val="20"/>
              </w:rPr>
            </w:pPr>
            <w:r w:rsidRPr="00FA08FA">
              <w:rPr>
                <w:sz w:val="20"/>
                <w:szCs w:val="20"/>
              </w:rPr>
              <w:t>Dato non disponibile perché non esiste alcun monitoraggio pubblico sull’alimentazione regolare del FSE</w:t>
            </w:r>
            <w:r>
              <w:rPr>
                <w:sz w:val="20"/>
                <w:szCs w:val="20"/>
              </w:rPr>
              <w:t xml:space="preserve"> da parte dei MMG</w:t>
            </w:r>
            <w:r w:rsidRPr="00FA08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 w:rsidRPr="00FA08FA">
              <w:rPr>
                <w:sz w:val="20"/>
                <w:szCs w:val="20"/>
              </w:rPr>
              <w:t>È noto soltanto che il 95% dei MMG e PLS ha effettuato almeno un accesso al FSE nel trimestre precedente all’ultima rilevazione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8B8E1E2" w14:textId="77777777" w:rsidR="00112CB1" w:rsidRPr="00FA08FA" w:rsidRDefault="00112CB1" w:rsidP="008F2992">
            <w:pPr>
              <w:jc w:val="center"/>
              <w:rPr>
                <w:i/>
                <w:iCs/>
                <w:sz w:val="20"/>
                <w:szCs w:val="20"/>
              </w:rPr>
            </w:pPr>
            <w:r w:rsidRPr="003017F5">
              <w:rPr>
                <w:rFonts w:cstheme="minorHAnsi"/>
                <w:noProof/>
                <w:color w:val="BFBFBF" w:themeColor="background1" w:themeShade="BF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67BE8233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112CB1" w:rsidRPr="00FA08FA">
                <w:rPr>
                  <w:rStyle w:val="Collegamentoipertestuale"/>
                  <w:sz w:val="20"/>
                  <w:szCs w:val="20"/>
                </w:rPr>
                <w:t xml:space="preserve">MdS e DTD, </w:t>
              </w:r>
              <w:r w:rsidR="00112CB1" w:rsidRPr="00FA08FA">
                <w:rPr>
                  <w:rStyle w:val="Collegamentoipertestuale"/>
                  <w:sz w:val="20"/>
                  <w:szCs w:val="20"/>
                </w:rPr>
                <w:br/>
                <w:t>24 giugno 2025</w:t>
              </w:r>
            </w:hyperlink>
          </w:p>
        </w:tc>
      </w:tr>
      <w:bookmarkEnd w:id="2"/>
      <w:tr w:rsidR="00112CB1" w:rsidRPr="006433E3" w14:paraId="1EA84033" w14:textId="77777777" w:rsidTr="008F2992">
        <w:trPr>
          <w:cantSplit/>
        </w:trPr>
        <w:tc>
          <w:tcPr>
            <w:tcW w:w="5000" w:type="pct"/>
            <w:gridSpan w:val="5"/>
            <w:shd w:val="clear" w:color="auto" w:fill="B6DDE8" w:themeFill="accent5" w:themeFillTint="66"/>
          </w:tcPr>
          <w:p w14:paraId="1A3281BF" w14:textId="77777777" w:rsidR="00112CB1" w:rsidRPr="006433E3" w:rsidRDefault="00112CB1" w:rsidP="008F299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457D"/>
                <w:sz w:val="20"/>
                <w:szCs w:val="20"/>
              </w:rPr>
              <w:t>C</w:t>
            </w:r>
            <w:r w:rsidRPr="006433E3">
              <w:rPr>
                <w:b/>
                <w:bCs/>
                <w:color w:val="00457D"/>
                <w:sz w:val="20"/>
                <w:szCs w:val="20"/>
              </w:rPr>
              <w:t xml:space="preserve">on scadenza </w:t>
            </w:r>
            <w:r>
              <w:rPr>
                <w:b/>
                <w:bCs/>
                <w:color w:val="00457D"/>
                <w:sz w:val="20"/>
                <w:szCs w:val="20"/>
              </w:rPr>
              <w:t>30 giugno 2026</w:t>
            </w:r>
          </w:p>
        </w:tc>
      </w:tr>
      <w:tr w:rsidR="00112CB1" w:rsidRPr="0043253B" w14:paraId="1E125ECC" w14:textId="77777777" w:rsidTr="008F2992">
        <w:trPr>
          <w:cantSplit/>
        </w:trPr>
        <w:tc>
          <w:tcPr>
            <w:tcW w:w="892" w:type="pct"/>
          </w:tcPr>
          <w:p w14:paraId="37B3A6C4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 xml:space="preserve">Case della Comunità </w:t>
            </w:r>
          </w:p>
        </w:tc>
        <w:tc>
          <w:tcPr>
            <w:tcW w:w="1049" w:type="pct"/>
          </w:tcPr>
          <w:p w14:paraId="02117690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Almeno 1.038 Case della Comunità messe a disposizione e dotate di attrezzature tecnologiche</w:t>
            </w:r>
          </w:p>
        </w:tc>
        <w:tc>
          <w:tcPr>
            <w:tcW w:w="2227" w:type="pct"/>
          </w:tcPr>
          <w:p w14:paraId="72FE1F1E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Al 20 dicembre 2024, per 164 Case della Comunità </w:t>
            </w:r>
            <w:bookmarkStart w:id="3" w:name="_Hlk204240765"/>
            <w:r w:rsidRPr="00FA08FA">
              <w:rPr>
                <w:rFonts w:cstheme="minorHAnsi"/>
                <w:sz w:val="20"/>
                <w:szCs w:val="20"/>
              </w:rPr>
              <w:t>(15,8%) sono stati dichiarati attivi tutti i servizi, ma solo 46 (4,4%) con presenza di personale medico e infermieristico</w:t>
            </w:r>
            <w:bookmarkEnd w:id="3"/>
            <w:r w:rsidRPr="00FA08FA">
              <w:rPr>
                <w:rFonts w:cstheme="minorHAnsi"/>
                <w:sz w:val="20"/>
                <w:szCs w:val="20"/>
              </w:rPr>
              <w:t>. Per 485 Case della Comunità (46,7%) è stato dichiarato attivo un solo servizio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9FCB392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EF3CB9">
              <w:rPr>
                <w:rFonts w:cstheme="minorHAnsi"/>
                <w:noProof/>
                <w:color w:val="FF000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0E81A136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Agenas,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14 marzo 2025</w:t>
              </w:r>
            </w:hyperlink>
          </w:p>
        </w:tc>
      </w:tr>
      <w:tr w:rsidR="00112CB1" w:rsidRPr="0043253B" w14:paraId="38370164" w14:textId="77777777" w:rsidTr="008F2992">
        <w:trPr>
          <w:cantSplit/>
        </w:trPr>
        <w:tc>
          <w:tcPr>
            <w:tcW w:w="892" w:type="pct"/>
          </w:tcPr>
          <w:p w14:paraId="41CB8B34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Risorse RRF per i progetti ex art. 20 (L. 67/1988)</w:t>
            </w:r>
          </w:p>
        </w:tc>
        <w:tc>
          <w:tcPr>
            <w:tcW w:w="1049" w:type="pct"/>
          </w:tcPr>
          <w:p w14:paraId="38A83497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Erogazione di almeno il 90% di € 250 milioni per progetti di ristrutturazione e ammodernamento degli ospedali </w:t>
            </w:r>
          </w:p>
        </w:tc>
        <w:tc>
          <w:tcPr>
            <w:tcW w:w="2227" w:type="pct"/>
          </w:tcPr>
          <w:p w14:paraId="27F65182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rFonts w:cstheme="minorHAnsi"/>
                <w:sz w:val="20"/>
                <w:szCs w:val="20"/>
              </w:rPr>
              <w:t>Al 21 marzo 2025, dai dati ReGiS risultano finanziati 127 progetti (tutti già in essere) con € 458,1 milioni, importo maggiore della copertura effettiva.</w:t>
            </w:r>
            <w:r w:rsidRPr="00FA08FA">
              <w:rPr>
                <w:rFonts w:cstheme="minorHAnsi"/>
                <w:sz w:val="20"/>
                <w:szCs w:val="20"/>
              </w:rPr>
              <w:br/>
              <w:t>È in corso l’attività di riconduzione dei progetti avviati ai meccanismi di funzionamento del PNRR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FA1BB19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EF3CB9">
              <w:rPr>
                <w:rFonts w:cstheme="minorHAnsi"/>
                <w:noProof/>
                <w:color w:val="92D05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6A9383DF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43253B" w14:paraId="0BADADEC" w14:textId="77777777" w:rsidTr="008F2992">
        <w:trPr>
          <w:cantSplit/>
        </w:trPr>
        <w:tc>
          <w:tcPr>
            <w:tcW w:w="892" w:type="pct"/>
          </w:tcPr>
          <w:p w14:paraId="313D2B13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Assistenza domiciliare negli over 65</w:t>
            </w:r>
          </w:p>
        </w:tc>
        <w:tc>
          <w:tcPr>
            <w:tcW w:w="1049" w:type="pct"/>
          </w:tcPr>
          <w:p w14:paraId="12AA5843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Almeno 842.000 nuovi pazienti in più che ricevono </w:t>
            </w:r>
            <w:r>
              <w:rPr>
                <w:rFonts w:cstheme="minorHAnsi"/>
                <w:sz w:val="20"/>
                <w:szCs w:val="20"/>
              </w:rPr>
              <w:t>ADI</w:t>
            </w:r>
          </w:p>
        </w:tc>
        <w:tc>
          <w:tcPr>
            <w:tcW w:w="2227" w:type="pct"/>
          </w:tcPr>
          <w:p w14:paraId="2C08CC72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A fine 2024 risultano assistiti in ADI 900.853 pazienti in più rispetto al 2019, ovvero il target è stato raggiunto 18 mesi prima della scadenza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897FD8A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EF3CB9">
              <w:rPr>
                <w:rFonts w:cstheme="minorHAnsi"/>
                <w:noProof/>
                <w:color w:val="92D05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29E685F4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Agenas,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21 luglio 2025</w:t>
              </w:r>
            </w:hyperlink>
          </w:p>
        </w:tc>
      </w:tr>
      <w:tr w:rsidR="00112CB1" w:rsidRPr="0043253B" w14:paraId="5D596B4D" w14:textId="77777777" w:rsidTr="008F2992">
        <w:trPr>
          <w:cantSplit/>
        </w:trPr>
        <w:tc>
          <w:tcPr>
            <w:tcW w:w="892" w:type="pct"/>
          </w:tcPr>
          <w:p w14:paraId="20F5E6C4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Posti letto di terapia intensiva e semi-intensiva</w:t>
            </w:r>
          </w:p>
        </w:tc>
        <w:tc>
          <w:tcPr>
            <w:tcW w:w="1049" w:type="pct"/>
          </w:tcPr>
          <w:p w14:paraId="14A2B13E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Attivazione di 2.692 posti letto di terapia intensiva e di 3.230 posti letto di semi-intensiva</w:t>
            </w:r>
          </w:p>
        </w:tc>
        <w:tc>
          <w:tcPr>
            <w:tcW w:w="2227" w:type="pct"/>
          </w:tcPr>
          <w:p w14:paraId="4076484D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Al 21 marzo 2025, dai dati ReGiS risultano realizzati 890 posti letto di terapia intensiva (33,1%) e 1.199 di terapia semi-intensiva (37,1%) 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4C09555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EF3CB9">
              <w:rPr>
                <w:rFonts w:cstheme="minorHAnsi"/>
                <w:noProof/>
                <w:color w:val="FF000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3B2D8BD0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43253B" w14:paraId="5280328F" w14:textId="77777777" w:rsidTr="008F2992">
        <w:trPr>
          <w:cantSplit/>
        </w:trPr>
        <w:tc>
          <w:tcPr>
            <w:tcW w:w="892" w:type="pct"/>
          </w:tcPr>
          <w:p w14:paraId="4A76406A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Interventi antisismici nelle strutture ospedaliere</w:t>
            </w:r>
          </w:p>
        </w:tc>
        <w:tc>
          <w:tcPr>
            <w:tcW w:w="1049" w:type="pct"/>
          </w:tcPr>
          <w:p w14:paraId="3591FB60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Completamento di almeno 84 interventi antisismici nelle strutture ospedaliere</w:t>
            </w:r>
          </w:p>
        </w:tc>
        <w:tc>
          <w:tcPr>
            <w:tcW w:w="2227" w:type="pct"/>
          </w:tcPr>
          <w:p w14:paraId="3C6555B0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rFonts w:cstheme="minorHAnsi"/>
                <w:sz w:val="20"/>
                <w:szCs w:val="20"/>
              </w:rPr>
              <w:t>Al 25 febbraio 2025, risultano attivi o conclusi circa 86 cantieri, tuttavia la spesa totale non raggiunge l’11% del finanziamento e nel Mezzogiorno è pari a circa il 6%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695032D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3017F5">
              <w:rPr>
                <w:rFonts w:cstheme="minorHAnsi"/>
                <w:noProof/>
                <w:color w:val="FFC00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6DA79EB3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B177E2" w14:paraId="1E547667" w14:textId="77777777" w:rsidTr="008F2992">
        <w:trPr>
          <w:cantSplit/>
        </w:trPr>
        <w:tc>
          <w:tcPr>
            <w:tcW w:w="892" w:type="pct"/>
          </w:tcPr>
          <w:p w14:paraId="1B2089C5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 xml:space="preserve">Ospedali di Comunità </w:t>
            </w:r>
          </w:p>
        </w:tc>
        <w:tc>
          <w:tcPr>
            <w:tcW w:w="1049" w:type="pct"/>
          </w:tcPr>
          <w:p w14:paraId="4A51FAAC" w14:textId="77777777" w:rsidR="00112CB1" w:rsidRPr="003711F7" w:rsidRDefault="00112CB1" w:rsidP="008F2992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3711F7">
              <w:rPr>
                <w:rFonts w:cstheme="minorHAnsi"/>
                <w:spacing w:val="-2"/>
                <w:sz w:val="20"/>
                <w:szCs w:val="20"/>
              </w:rPr>
              <w:t>Almeno 307 Ospedali di Comunità rinnovati, interconnessi e dotati di attrezzature tecnologiche</w:t>
            </w:r>
          </w:p>
        </w:tc>
        <w:tc>
          <w:tcPr>
            <w:tcW w:w="2227" w:type="pct"/>
          </w:tcPr>
          <w:p w14:paraId="460A637D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Al 20 dicembre 2024, 124 Ospedali di Comunità (40,4%) hanno dichiarato almeno un servizio attivo</w:t>
            </w:r>
          </w:p>
          <w:p w14:paraId="1797856F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AE6B0B1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EF3CB9">
              <w:rPr>
                <w:rFonts w:cstheme="minorHAnsi"/>
                <w:noProof/>
                <w:color w:val="FF000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6F154712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Agenas,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14 marzo 2025</w:t>
              </w:r>
            </w:hyperlink>
          </w:p>
        </w:tc>
      </w:tr>
      <w:tr w:rsidR="00112CB1" w:rsidRPr="0043253B" w14:paraId="2E686392" w14:textId="77777777" w:rsidTr="008F2992">
        <w:trPr>
          <w:cantSplit/>
        </w:trPr>
        <w:tc>
          <w:tcPr>
            <w:tcW w:w="892" w:type="pct"/>
          </w:tcPr>
          <w:p w14:paraId="294F0072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Grandi apparecchiature sanitarie</w:t>
            </w:r>
          </w:p>
        </w:tc>
        <w:tc>
          <w:tcPr>
            <w:tcW w:w="1049" w:type="pct"/>
          </w:tcPr>
          <w:p w14:paraId="56D0E3A3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Operatività di almeno 3.100 grandi apparecchiature sanitarie</w:t>
            </w:r>
          </w:p>
        </w:tc>
        <w:tc>
          <w:tcPr>
            <w:tcW w:w="2227" w:type="pct"/>
          </w:tcPr>
          <w:p w14:paraId="26B9D655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rFonts w:cstheme="minorHAnsi"/>
                <w:sz w:val="20"/>
                <w:szCs w:val="20"/>
              </w:rPr>
              <w:t>Al 31 gennaio 2025, delle 3.223 grandi apparecchiature incluse nella programmazione, il 97% (n. 3.126) sono state ordinate, l’80% (n. 2.578) consegnate e il 77% (n. 2.482) collaudate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26046DB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EF3CB9">
              <w:rPr>
                <w:rFonts w:cstheme="minorHAnsi"/>
                <w:noProof/>
                <w:color w:val="92D05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028B2072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43253B" w14:paraId="79663BEB" w14:textId="77777777" w:rsidTr="008F2992">
        <w:trPr>
          <w:cantSplit/>
        </w:trPr>
        <w:tc>
          <w:tcPr>
            <w:tcW w:w="892" w:type="pct"/>
          </w:tcPr>
          <w:p w14:paraId="75C0ADAE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Sistema della tessera di assicurazione malattia e infrastruttura per l'interoperabilità del FSE</w:t>
            </w:r>
            <w:r w:rsidRPr="00CD0BE3">
              <w:rPr>
                <w:vertAlign w:val="superscript"/>
              </w:rPr>
              <w:t>*</w:t>
            </w:r>
          </w:p>
        </w:tc>
        <w:tc>
          <w:tcPr>
            <w:tcW w:w="1049" w:type="pct"/>
          </w:tcPr>
          <w:p w14:paraId="7BD3F4A7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Piena operatività del sistema di Tessera sanitaria elettronica e dell'infrastruttura per l'interoperabilità del FSE</w:t>
            </w:r>
          </w:p>
        </w:tc>
        <w:tc>
          <w:tcPr>
            <w:tcW w:w="2227" w:type="pct"/>
          </w:tcPr>
          <w:p w14:paraId="0D5DA208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CD0BE3">
              <w:rPr>
                <w:rFonts w:cstheme="minorHAnsi"/>
                <w:sz w:val="20"/>
                <w:szCs w:val="20"/>
              </w:rPr>
              <w:t>A inizio 2025 attivate le infrastrutture tecniche per l’interoperabilità dei dati sanitari tra le Regioni</w:t>
            </w:r>
            <w:r>
              <w:rPr>
                <w:rFonts w:cstheme="minorHAnsi"/>
                <w:sz w:val="20"/>
                <w:szCs w:val="20"/>
              </w:rPr>
              <w:t>. A</w:t>
            </w:r>
            <w:r w:rsidRPr="00CD0BE3">
              <w:rPr>
                <w:rFonts w:cstheme="minorHAnsi"/>
                <w:sz w:val="20"/>
                <w:szCs w:val="20"/>
              </w:rPr>
              <w:t xml:space="preserve"> marzo</w:t>
            </w:r>
            <w:r>
              <w:rPr>
                <w:rFonts w:cstheme="minorHAnsi"/>
                <w:sz w:val="20"/>
                <w:szCs w:val="20"/>
              </w:rPr>
              <w:t xml:space="preserve"> 2025</w:t>
            </w:r>
            <w:r w:rsidRPr="00CD0BE3">
              <w:rPr>
                <w:rFonts w:cstheme="minorHAnsi"/>
                <w:sz w:val="20"/>
                <w:szCs w:val="20"/>
              </w:rPr>
              <w:t xml:space="preserve"> è stato pubblicato in G</w:t>
            </w:r>
            <w:r>
              <w:rPr>
                <w:rFonts w:cstheme="minorHAnsi"/>
                <w:sz w:val="20"/>
                <w:szCs w:val="20"/>
              </w:rPr>
              <w:t>URI</w:t>
            </w:r>
            <w:r w:rsidRPr="00CD0BE3">
              <w:rPr>
                <w:rFonts w:cstheme="minorHAnsi"/>
                <w:sz w:val="20"/>
                <w:szCs w:val="20"/>
              </w:rPr>
              <w:t xml:space="preserve"> il decreto che istituisce il nuovo Ecosistema dei dati sanitari.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C1DCE04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3017F5">
              <w:rPr>
                <w:rFonts w:cstheme="minorHAnsi"/>
                <w:noProof/>
                <w:color w:val="BFBFBF" w:themeColor="background1" w:themeShade="BF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E7569BC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112CB1" w:rsidRPr="00857CB9">
                <w:rPr>
                  <w:rStyle w:val="Collegamentoipertestuale"/>
                  <w:rFonts w:cstheme="minorHAnsi"/>
                  <w:sz w:val="20"/>
                  <w:szCs w:val="20"/>
                </w:rPr>
                <w:t>CdC,</w:t>
              </w:r>
              <w:r w:rsidR="00112CB1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</w:r>
              <w:r w:rsidR="00112CB1" w:rsidRPr="00857CB9">
                <w:rPr>
                  <w:rStyle w:val="Collegamentoipertestuale"/>
                  <w:rFonts w:cstheme="minorHAnsi"/>
                  <w:sz w:val="20"/>
                  <w:szCs w:val="20"/>
                </w:rPr>
                <w:t>12 maggio 2025</w:t>
              </w:r>
            </w:hyperlink>
          </w:p>
        </w:tc>
      </w:tr>
      <w:tr w:rsidR="00112CB1" w:rsidRPr="0043253B" w14:paraId="34C4BF52" w14:textId="77777777" w:rsidTr="008F2992">
        <w:trPr>
          <w:cantSplit/>
        </w:trPr>
        <w:tc>
          <w:tcPr>
            <w:tcW w:w="892" w:type="pct"/>
          </w:tcPr>
          <w:p w14:paraId="6215927E" w14:textId="77777777" w:rsidR="00112CB1" w:rsidRPr="00CB4B24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24">
              <w:rPr>
                <w:rFonts w:cstheme="minorHAnsi"/>
                <w:b/>
                <w:bCs/>
                <w:sz w:val="20"/>
                <w:szCs w:val="20"/>
              </w:rPr>
              <w:t>Fascicolo Sanitario Elettronico</w:t>
            </w:r>
          </w:p>
        </w:tc>
        <w:tc>
          <w:tcPr>
            <w:tcW w:w="1049" w:type="pct"/>
          </w:tcPr>
          <w:p w14:paraId="70A1C9CE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Tutte le Regioni adottano e utilizzano il FSE</w:t>
            </w:r>
          </w:p>
        </w:tc>
        <w:tc>
          <w:tcPr>
            <w:tcW w:w="2227" w:type="pct"/>
          </w:tcPr>
          <w:p w14:paraId="09C7E278" w14:textId="77777777" w:rsidR="00112CB1" w:rsidRPr="00FA08FA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FA08FA">
              <w:rPr>
                <w:rFonts w:cstheme="minorHAnsi"/>
                <w:sz w:val="20"/>
                <w:szCs w:val="20"/>
              </w:rPr>
              <w:t>Al 31 marzo 2025, solo 6 documenti su 16 (lettera di dimissione ospedaliera, referti di laboratorio e di radiologia, prescrizione farmaceutica e specialistica e verbale di pronto soccorso) sono disponibili in tutte le Regioni. Inoltre, solo il 42% dei cittadini ha espresso il consenso alla consultazione dei dati contenuti nel proprio FSE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447C82B" w14:textId="77777777" w:rsidR="00112CB1" w:rsidRPr="00FA08FA" w:rsidRDefault="00112CB1" w:rsidP="008F2992">
            <w:pPr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  <w:r w:rsidRPr="003017F5">
              <w:rPr>
                <w:rFonts w:cstheme="minorHAnsi"/>
                <w:noProof/>
                <w:color w:val="FFC00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60D70AC3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>MdS e DTD,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24 giugno 2025</w:t>
              </w:r>
            </w:hyperlink>
          </w:p>
        </w:tc>
      </w:tr>
      <w:tr w:rsidR="00112CB1" w:rsidRPr="0043253B" w14:paraId="7510B31D" w14:textId="77777777" w:rsidTr="008F2992">
        <w:trPr>
          <w:cantSplit/>
        </w:trPr>
        <w:tc>
          <w:tcPr>
            <w:tcW w:w="892" w:type="pct"/>
          </w:tcPr>
          <w:p w14:paraId="7AEC7684" w14:textId="77777777" w:rsidR="00112CB1" w:rsidRPr="00FA08FA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08FA">
              <w:rPr>
                <w:rFonts w:cstheme="minorHAnsi"/>
                <w:b/>
                <w:bCs/>
                <w:sz w:val="20"/>
                <w:szCs w:val="20"/>
              </w:rPr>
              <w:t>Contratti di formazione medica specialistica</w:t>
            </w:r>
          </w:p>
        </w:tc>
        <w:tc>
          <w:tcPr>
            <w:tcW w:w="1049" w:type="pct"/>
          </w:tcPr>
          <w:p w14:paraId="5C8B9BF7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Finanziamento di 4.200 contratti aggiuntivi di formazione medica specialistica</w:t>
            </w:r>
          </w:p>
        </w:tc>
        <w:tc>
          <w:tcPr>
            <w:tcW w:w="2227" w:type="pct"/>
          </w:tcPr>
          <w:p w14:paraId="72EB2FDD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Stanziati € 538 milioni per 4.200 contratti di formazione medico-specialistica: le risorse sono state conferite alle Università per i percorsi quinquennali, attivati nell’anno accademico 2020-21, portando formalmente il target a completamento 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3982905" w14:textId="77777777" w:rsidR="00112CB1" w:rsidRPr="00FA08FA" w:rsidRDefault="00112CB1" w:rsidP="008F299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F3CB9">
              <w:rPr>
                <w:rFonts w:cstheme="minorHAnsi"/>
                <w:noProof/>
                <w:color w:val="92D050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3F6A88D9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43253B" w14:paraId="0DB71E1A" w14:textId="77777777" w:rsidTr="008F2992">
        <w:trPr>
          <w:cantSplit/>
        </w:trPr>
        <w:tc>
          <w:tcPr>
            <w:tcW w:w="892" w:type="pct"/>
          </w:tcPr>
          <w:p w14:paraId="1CB447EA" w14:textId="77777777" w:rsidR="00112CB1" w:rsidRPr="00FA08FA" w:rsidRDefault="00112CB1" w:rsidP="008F29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A08FA">
              <w:rPr>
                <w:rFonts w:cstheme="minorHAnsi"/>
                <w:b/>
                <w:bCs/>
                <w:sz w:val="20"/>
                <w:szCs w:val="20"/>
              </w:rPr>
              <w:t>Formazione su competenze e abilità di management e digitali</w:t>
            </w:r>
          </w:p>
        </w:tc>
        <w:tc>
          <w:tcPr>
            <w:tcW w:w="1049" w:type="pct"/>
          </w:tcPr>
          <w:p w14:paraId="4B379088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>Erogazione dei corsi di formazione per 4.500 professionisti sanitari</w:t>
            </w:r>
          </w:p>
        </w:tc>
        <w:tc>
          <w:tcPr>
            <w:tcW w:w="2227" w:type="pct"/>
          </w:tcPr>
          <w:p w14:paraId="2DB097E9" w14:textId="77777777" w:rsidR="00112CB1" w:rsidRPr="00FA08FA" w:rsidRDefault="00112CB1" w:rsidP="008F2992">
            <w:pPr>
              <w:rPr>
                <w:rFonts w:cstheme="minorHAnsi"/>
                <w:sz w:val="20"/>
                <w:szCs w:val="20"/>
              </w:rPr>
            </w:pPr>
            <w:r w:rsidRPr="00FA08FA">
              <w:rPr>
                <w:rFonts w:cstheme="minorHAnsi"/>
                <w:sz w:val="20"/>
                <w:szCs w:val="20"/>
              </w:rPr>
              <w:t xml:space="preserve">Nessuna informazione pubblica sul numero di partecipanti che hanno completato i corsi di formazione, </w:t>
            </w:r>
            <w:r>
              <w:rPr>
                <w:rFonts w:cstheme="minorHAnsi"/>
                <w:sz w:val="20"/>
                <w:szCs w:val="20"/>
              </w:rPr>
              <w:t xml:space="preserve">dopo lo </w:t>
            </w:r>
            <w:r w:rsidRPr="00FA08FA">
              <w:rPr>
                <w:rFonts w:cstheme="minorHAnsi"/>
                <w:sz w:val="20"/>
                <w:szCs w:val="20"/>
              </w:rPr>
              <w:t>stanziamento di € 18 milioni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AC08BB3" w14:textId="77777777" w:rsidR="00112CB1" w:rsidRPr="00FA08FA" w:rsidRDefault="00112CB1" w:rsidP="008F299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017F5">
              <w:rPr>
                <w:rFonts w:cstheme="minorHAnsi"/>
                <w:noProof/>
                <w:color w:val="BFBFBF" w:themeColor="background1" w:themeShade="BF"/>
                <w:sz w:val="48"/>
                <w:szCs w:val="48"/>
                <w:lang w:eastAsia="it-IT"/>
              </w:rPr>
              <w:sym w:font="Wingdings 2" w:char="F098"/>
            </w:r>
          </w:p>
        </w:tc>
        <w:tc>
          <w:tcPr>
            <w:tcW w:w="534" w:type="pct"/>
            <w:shd w:val="clear" w:color="auto" w:fill="auto"/>
          </w:tcPr>
          <w:p w14:paraId="77BC4BDC" w14:textId="77777777" w:rsidR="00112CB1" w:rsidRPr="00FA08FA" w:rsidRDefault="00F87CE2" w:rsidP="008F2992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t xml:space="preserve">UPB, </w:t>
              </w:r>
              <w:r w:rsidR="00112CB1" w:rsidRPr="00FA08FA">
                <w:rPr>
                  <w:rStyle w:val="Collegamentoipertestuale"/>
                  <w:rFonts w:cstheme="minorHAnsi"/>
                  <w:sz w:val="20"/>
                  <w:szCs w:val="20"/>
                </w:rPr>
                <w:br/>
                <w:t>22 maggio 2025</w:t>
              </w:r>
            </w:hyperlink>
          </w:p>
        </w:tc>
      </w:tr>
      <w:tr w:rsidR="00112CB1" w:rsidRPr="000C2DD6" w14:paraId="5B8982C8" w14:textId="77777777" w:rsidTr="008F2992">
        <w:trPr>
          <w:cantSplit/>
        </w:trPr>
        <w:tc>
          <w:tcPr>
            <w:tcW w:w="5000" w:type="pct"/>
            <w:gridSpan w:val="5"/>
          </w:tcPr>
          <w:p w14:paraId="450A8391" w14:textId="77777777" w:rsidR="00112CB1" w:rsidRDefault="00112CB1" w:rsidP="008F2992">
            <w:pPr>
              <w:spacing w:after="8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6E2801">
              <w:rPr>
                <w:rFonts w:cstheme="minorHAnsi"/>
                <w:noProof/>
                <w:sz w:val="18"/>
                <w:szCs w:val="18"/>
                <w:lang w:eastAsia="it-IT"/>
              </w:rPr>
              <w:t>FSE: Fascicolo Sanitario Elettronico. DEA: Dipartimento di Emergenza e Accettazione. MMG: Medici di Medicina Generale. PLS: Pediatri di Libera Scelta</w:t>
            </w:r>
            <w:r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. RRF: </w:t>
            </w:r>
            <w:r w:rsidRPr="00FA08FA">
              <w:rPr>
                <w:rFonts w:cstheme="minorHAnsi"/>
                <w:i/>
                <w:iCs/>
                <w:noProof/>
                <w:sz w:val="18"/>
                <w:szCs w:val="18"/>
                <w:lang w:eastAsia="it-IT"/>
              </w:rPr>
              <w:t>Recovery and Resilience Facility</w:t>
            </w:r>
            <w:r w:rsidRPr="00FA08FA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 (Dispositivo per la Ripresa e la Resilienza)</w:t>
            </w:r>
            <w:r>
              <w:rPr>
                <w:rFonts w:cstheme="minorHAnsi"/>
                <w:noProof/>
                <w:sz w:val="18"/>
                <w:szCs w:val="18"/>
                <w:lang w:eastAsia="it-IT"/>
              </w:rPr>
              <w:t>. ADI: Assistenza Domiciliare Integrata</w:t>
            </w:r>
          </w:p>
          <w:p w14:paraId="3F662D63" w14:textId="77777777" w:rsidR="00112CB1" w:rsidRPr="00857CB9" w:rsidRDefault="00112CB1" w:rsidP="008F2992">
            <w:pPr>
              <w:spacing w:after="80"/>
              <w:rPr>
                <w:rFonts w:cstheme="minorHAnsi"/>
                <w:noProof/>
                <w:spacing w:val="-2"/>
                <w:sz w:val="18"/>
                <w:szCs w:val="18"/>
                <w:lang w:eastAsia="it-IT"/>
              </w:rPr>
            </w:pPr>
            <w:r w:rsidRPr="00857CB9">
              <w:rPr>
                <w:rFonts w:cstheme="minorHAnsi"/>
                <w:noProof/>
                <w:spacing w:val="-2"/>
                <w:sz w:val="18"/>
                <w:szCs w:val="18"/>
                <w:lang w:eastAsia="it-IT"/>
              </w:rPr>
              <w:t>UBP: Ufficio Parlamentare di Bilancio. MdS: Ministero della Salute. DTD: Dipartimento per la Trasformazione Digitale. ReGiS: Registro Generale degli Interventi e della Spesa. CdC: Corte dei Conti</w:t>
            </w:r>
          </w:p>
          <w:p w14:paraId="4DE81564" w14:textId="77777777" w:rsidR="00112CB1" w:rsidRPr="006E2801" w:rsidRDefault="00112CB1" w:rsidP="008F2992">
            <w:pPr>
              <w:spacing w:after="8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CD0BE3">
              <w:rPr>
                <w:rFonts w:cstheme="minorHAnsi"/>
                <w:noProof/>
                <w:sz w:val="18"/>
                <w:szCs w:val="18"/>
                <w:vertAlign w:val="superscript"/>
                <w:lang w:eastAsia="it-IT"/>
              </w:rPr>
              <w:t>*</w:t>
            </w:r>
            <w:r w:rsidRPr="0095229E">
              <w:rPr>
                <w:rFonts w:cstheme="minorHAnsi"/>
                <w:noProof/>
                <w:sz w:val="18"/>
                <w:szCs w:val="18"/>
                <w:lang w:eastAsia="it-IT"/>
              </w:rPr>
              <w:t>Milestone</w:t>
            </w:r>
          </w:p>
        </w:tc>
      </w:tr>
      <w:tr w:rsidR="00112CB1" w:rsidRPr="0043253B" w14:paraId="4829987B" w14:textId="77777777" w:rsidTr="008F2992">
        <w:trPr>
          <w:cantSplit/>
          <w:trHeight w:val="1388"/>
        </w:trPr>
        <w:tc>
          <w:tcPr>
            <w:tcW w:w="5000" w:type="pct"/>
            <w:gridSpan w:val="5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8330"/>
            </w:tblGrid>
            <w:tr w:rsidR="00112CB1" w:rsidRPr="0043253B" w14:paraId="409BB6DE" w14:textId="77777777" w:rsidTr="008F2992">
              <w:tc>
                <w:tcPr>
                  <w:tcW w:w="990" w:type="dxa"/>
                  <w:vAlign w:val="center"/>
                </w:tcPr>
                <w:p w14:paraId="456B0A3F" w14:textId="77777777" w:rsidR="00112CB1" w:rsidRPr="00857CB9" w:rsidRDefault="00112CB1" w:rsidP="008F2992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 w:rsidRPr="00857CB9">
                    <w:rPr>
                      <w:rFonts w:cstheme="minorHAnsi"/>
                      <w:noProof/>
                      <w:color w:val="92D050"/>
                      <w:sz w:val="36"/>
                      <w:szCs w:val="36"/>
                      <w:lang w:eastAsia="it-IT"/>
                    </w:rPr>
                    <w:sym w:font="Wingdings 2" w:char="F098"/>
                  </w:r>
                </w:p>
              </w:tc>
              <w:tc>
                <w:tcPr>
                  <w:tcW w:w="8330" w:type="dxa"/>
                  <w:vAlign w:val="center"/>
                </w:tcPr>
                <w:p w14:paraId="3674F9B0" w14:textId="77777777" w:rsidR="00112CB1" w:rsidRPr="007836BB" w:rsidRDefault="00112CB1" w:rsidP="008F29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836BB">
                    <w:rPr>
                      <w:rFonts w:cstheme="minorHAnsi"/>
                      <w:sz w:val="20"/>
                      <w:szCs w:val="20"/>
                    </w:rPr>
                    <w:t>In fase di completamento o già completato</w:t>
                  </w:r>
                </w:p>
              </w:tc>
            </w:tr>
            <w:tr w:rsidR="00112CB1" w:rsidRPr="0043253B" w14:paraId="7FF9F362" w14:textId="77777777" w:rsidTr="008F2992">
              <w:tc>
                <w:tcPr>
                  <w:tcW w:w="990" w:type="dxa"/>
                  <w:vAlign w:val="center"/>
                </w:tcPr>
                <w:p w14:paraId="30C34C00" w14:textId="77777777" w:rsidR="00112CB1" w:rsidRPr="000C4E99" w:rsidRDefault="00112CB1" w:rsidP="008F2992">
                  <w:pPr>
                    <w:jc w:val="center"/>
                    <w:rPr>
                      <w:rFonts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330" w:type="dxa"/>
                  <w:shd w:val="clear" w:color="auto" w:fill="auto"/>
                  <w:vAlign w:val="center"/>
                </w:tcPr>
                <w:p w14:paraId="4F475E50" w14:textId="77777777" w:rsidR="00112CB1" w:rsidRPr="000C4E99" w:rsidRDefault="00112CB1" w:rsidP="008F2992">
                  <w:pPr>
                    <w:rPr>
                      <w:rFonts w:cstheme="minorHAnsi"/>
                      <w:sz w:val="2"/>
                      <w:szCs w:val="2"/>
                    </w:rPr>
                  </w:pPr>
                </w:p>
              </w:tc>
            </w:tr>
            <w:tr w:rsidR="00112CB1" w:rsidRPr="0043253B" w14:paraId="472FBA3B" w14:textId="77777777" w:rsidTr="008F2992">
              <w:tc>
                <w:tcPr>
                  <w:tcW w:w="990" w:type="dxa"/>
                  <w:vAlign w:val="center"/>
                </w:tcPr>
                <w:p w14:paraId="32FAEC04" w14:textId="77777777" w:rsidR="00112CB1" w:rsidRPr="00857CB9" w:rsidRDefault="00112CB1" w:rsidP="008F2992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 w:rsidRPr="00857CB9">
                    <w:rPr>
                      <w:rFonts w:cstheme="minorHAnsi"/>
                      <w:noProof/>
                      <w:color w:val="FFC000"/>
                      <w:sz w:val="36"/>
                      <w:szCs w:val="36"/>
                      <w:lang w:eastAsia="it-IT"/>
                    </w:rPr>
                    <w:sym w:font="Wingdings 2" w:char="F098"/>
                  </w:r>
                </w:p>
              </w:tc>
              <w:tc>
                <w:tcPr>
                  <w:tcW w:w="8330" w:type="dxa"/>
                  <w:vAlign w:val="center"/>
                </w:tcPr>
                <w:p w14:paraId="5F3D2134" w14:textId="77777777" w:rsidR="00112CB1" w:rsidRPr="007836BB" w:rsidRDefault="00112CB1" w:rsidP="008F29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836BB">
                    <w:rPr>
                      <w:rFonts w:cstheme="minorHAnsi"/>
                      <w:sz w:val="20"/>
                      <w:szCs w:val="20"/>
                    </w:rPr>
                    <w:t>C</w:t>
                  </w:r>
                  <w:r w:rsidRPr="007836BB">
                    <w:rPr>
                      <w:sz w:val="20"/>
                      <w:szCs w:val="20"/>
                    </w:rPr>
                    <w:t xml:space="preserve">on ritardi significativi </w:t>
                  </w:r>
                </w:p>
              </w:tc>
            </w:tr>
            <w:tr w:rsidR="00112CB1" w:rsidRPr="0043253B" w14:paraId="3810EE8F" w14:textId="77777777" w:rsidTr="008F2992">
              <w:tc>
                <w:tcPr>
                  <w:tcW w:w="990" w:type="dxa"/>
                  <w:vAlign w:val="center"/>
                </w:tcPr>
                <w:p w14:paraId="0D084A52" w14:textId="77777777" w:rsidR="00112CB1" w:rsidRPr="000C4E99" w:rsidRDefault="00112CB1" w:rsidP="008F2992">
                  <w:pPr>
                    <w:jc w:val="center"/>
                    <w:rPr>
                      <w:rFonts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330" w:type="dxa"/>
                  <w:shd w:val="clear" w:color="auto" w:fill="auto"/>
                  <w:vAlign w:val="center"/>
                </w:tcPr>
                <w:p w14:paraId="1217D9F3" w14:textId="77777777" w:rsidR="00112CB1" w:rsidRPr="000C4E99" w:rsidRDefault="00112CB1" w:rsidP="008F2992">
                  <w:pPr>
                    <w:rPr>
                      <w:rFonts w:cstheme="minorHAnsi"/>
                      <w:sz w:val="2"/>
                      <w:szCs w:val="2"/>
                    </w:rPr>
                  </w:pPr>
                </w:p>
              </w:tc>
            </w:tr>
            <w:tr w:rsidR="00112CB1" w:rsidRPr="0043253B" w14:paraId="148A3618" w14:textId="77777777" w:rsidTr="008F2992">
              <w:tc>
                <w:tcPr>
                  <w:tcW w:w="990" w:type="dxa"/>
                  <w:vAlign w:val="center"/>
                </w:tcPr>
                <w:p w14:paraId="7C9CAF06" w14:textId="77777777" w:rsidR="00112CB1" w:rsidRPr="00857CB9" w:rsidRDefault="00112CB1" w:rsidP="008F2992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 w:rsidRPr="00857CB9">
                    <w:rPr>
                      <w:rFonts w:cstheme="minorHAnsi"/>
                      <w:noProof/>
                      <w:color w:val="FF0000"/>
                      <w:sz w:val="36"/>
                      <w:szCs w:val="36"/>
                      <w:lang w:eastAsia="it-IT"/>
                    </w:rPr>
                    <w:sym w:font="Wingdings 2" w:char="F098"/>
                  </w:r>
                </w:p>
              </w:tc>
              <w:tc>
                <w:tcPr>
                  <w:tcW w:w="8330" w:type="dxa"/>
                  <w:vAlign w:val="center"/>
                </w:tcPr>
                <w:p w14:paraId="21F37989" w14:textId="77777777" w:rsidR="00112CB1" w:rsidRPr="007836BB" w:rsidRDefault="00112CB1" w:rsidP="008F29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836BB">
                    <w:rPr>
                      <w:rFonts w:cstheme="minorHAnsi"/>
                      <w:sz w:val="20"/>
                      <w:szCs w:val="20"/>
                    </w:rPr>
                    <w:t>I</w:t>
                  </w:r>
                  <w:r w:rsidRPr="007836BB">
                    <w:rPr>
                      <w:sz w:val="20"/>
                      <w:szCs w:val="20"/>
                    </w:rPr>
                    <w:t xml:space="preserve">n netto ritardo </w:t>
                  </w:r>
                </w:p>
              </w:tc>
            </w:tr>
            <w:tr w:rsidR="00112CB1" w:rsidRPr="0043253B" w14:paraId="6BBED4A5" w14:textId="77777777" w:rsidTr="008F2992">
              <w:tc>
                <w:tcPr>
                  <w:tcW w:w="990" w:type="dxa"/>
                  <w:vAlign w:val="center"/>
                </w:tcPr>
                <w:p w14:paraId="1549E879" w14:textId="77777777" w:rsidR="00112CB1" w:rsidRPr="000C4E99" w:rsidRDefault="00112CB1" w:rsidP="008F2992">
                  <w:pPr>
                    <w:jc w:val="center"/>
                    <w:rPr>
                      <w:rFonts w:cstheme="minorHAnsi"/>
                      <w:sz w:val="2"/>
                      <w:szCs w:val="2"/>
                    </w:rPr>
                  </w:pPr>
                </w:p>
              </w:tc>
              <w:tc>
                <w:tcPr>
                  <w:tcW w:w="8330" w:type="dxa"/>
                  <w:shd w:val="clear" w:color="auto" w:fill="auto"/>
                  <w:vAlign w:val="center"/>
                </w:tcPr>
                <w:p w14:paraId="4F6834CF" w14:textId="77777777" w:rsidR="00112CB1" w:rsidRPr="000C4E99" w:rsidRDefault="00112CB1" w:rsidP="008F2992">
                  <w:pPr>
                    <w:rPr>
                      <w:rFonts w:cstheme="minorHAnsi"/>
                      <w:sz w:val="2"/>
                      <w:szCs w:val="2"/>
                    </w:rPr>
                  </w:pPr>
                </w:p>
              </w:tc>
            </w:tr>
            <w:tr w:rsidR="00112CB1" w:rsidRPr="0043253B" w14:paraId="39955A51" w14:textId="77777777" w:rsidTr="008F2992">
              <w:tc>
                <w:tcPr>
                  <w:tcW w:w="990" w:type="dxa"/>
                  <w:vAlign w:val="center"/>
                </w:tcPr>
                <w:p w14:paraId="12F0A9EB" w14:textId="77777777" w:rsidR="00112CB1" w:rsidRPr="00857CB9" w:rsidRDefault="00112CB1" w:rsidP="008F2992">
                  <w:pPr>
                    <w:jc w:val="center"/>
                    <w:rPr>
                      <w:rFonts w:cstheme="minorHAnsi"/>
                      <w:sz w:val="36"/>
                      <w:szCs w:val="36"/>
                    </w:rPr>
                  </w:pPr>
                  <w:r w:rsidRPr="00857CB9">
                    <w:rPr>
                      <w:rFonts w:cstheme="minorHAnsi"/>
                      <w:noProof/>
                      <w:color w:val="BFBFBF" w:themeColor="background1" w:themeShade="BF"/>
                      <w:sz w:val="36"/>
                      <w:szCs w:val="36"/>
                      <w:lang w:eastAsia="it-IT"/>
                    </w:rPr>
                    <w:sym w:font="Wingdings 2" w:char="F098"/>
                  </w:r>
                </w:p>
              </w:tc>
              <w:tc>
                <w:tcPr>
                  <w:tcW w:w="8330" w:type="dxa"/>
                  <w:vAlign w:val="center"/>
                </w:tcPr>
                <w:p w14:paraId="35B3461B" w14:textId="77777777" w:rsidR="00112CB1" w:rsidRPr="007836BB" w:rsidRDefault="00112CB1" w:rsidP="008F29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836BB">
                    <w:rPr>
                      <w:rFonts w:cstheme="minorHAnsi"/>
                      <w:sz w:val="20"/>
                      <w:szCs w:val="20"/>
                    </w:rPr>
                    <w:t xml:space="preserve">Non valutabili per dati non disponibili </w:t>
                  </w:r>
                </w:p>
              </w:tc>
            </w:tr>
          </w:tbl>
          <w:p w14:paraId="31B6AD78" w14:textId="77777777" w:rsidR="00112CB1" w:rsidRPr="0043253B" w:rsidRDefault="00112CB1" w:rsidP="008F2992">
            <w:pPr>
              <w:rPr>
                <w:rFonts w:cstheme="minorHAnsi"/>
                <w:noProof/>
                <w:sz w:val="20"/>
                <w:szCs w:val="20"/>
                <w:lang w:eastAsia="it-IT"/>
              </w:rPr>
            </w:pPr>
          </w:p>
        </w:tc>
      </w:tr>
    </w:tbl>
    <w:p w14:paraId="73930381" w14:textId="5F856DFB" w:rsidR="00AF0E11" w:rsidRPr="00112CB1" w:rsidRDefault="00AF0E11" w:rsidP="00112CB1">
      <w:pPr>
        <w:spacing w:after="0"/>
        <w:rPr>
          <w:b/>
          <w:bCs/>
          <w:color w:val="00457D"/>
          <w:sz w:val="8"/>
          <w:szCs w:val="8"/>
          <w:u w:color="00457D"/>
        </w:rPr>
      </w:pPr>
    </w:p>
    <w:sectPr w:rsidR="00AF0E11" w:rsidRPr="00112CB1" w:rsidSect="00112CB1">
      <w:pgSz w:w="16838" w:h="11906" w:orient="landscape"/>
      <w:pgMar w:top="993" w:right="110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1A5A" w14:textId="77777777" w:rsidR="00F87CE2" w:rsidRDefault="00F87CE2" w:rsidP="00ED0CFD">
      <w:pPr>
        <w:spacing w:after="0" w:line="240" w:lineRule="auto"/>
      </w:pPr>
      <w:r>
        <w:separator/>
      </w:r>
    </w:p>
  </w:endnote>
  <w:endnote w:type="continuationSeparator" w:id="0">
    <w:p w14:paraId="21FA93AA" w14:textId="77777777" w:rsidR="00F87CE2" w:rsidRDefault="00F87CE2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B504" w14:textId="77777777" w:rsidR="00F87CE2" w:rsidRDefault="00F87CE2" w:rsidP="00ED0CFD">
      <w:pPr>
        <w:spacing w:after="0" w:line="240" w:lineRule="auto"/>
      </w:pPr>
      <w:r>
        <w:separator/>
      </w:r>
    </w:p>
  </w:footnote>
  <w:footnote w:type="continuationSeparator" w:id="0">
    <w:p w14:paraId="205A9AC1" w14:textId="77777777" w:rsidR="00F87CE2" w:rsidRDefault="00F87CE2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ADAC" w14:textId="77777777" w:rsidR="00DF78AE" w:rsidRPr="002F600C" w:rsidRDefault="00DF78AE" w:rsidP="001E063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166"/>
    <w:multiLevelType w:val="hybridMultilevel"/>
    <w:tmpl w:val="86E2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D3B04"/>
    <w:multiLevelType w:val="hybridMultilevel"/>
    <w:tmpl w:val="9884A6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1258CF"/>
    <w:multiLevelType w:val="hybridMultilevel"/>
    <w:tmpl w:val="906623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F1755"/>
    <w:multiLevelType w:val="hybridMultilevel"/>
    <w:tmpl w:val="7BDE7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22"/>
  </w:num>
  <w:num w:numId="4">
    <w:abstractNumId w:val="37"/>
  </w:num>
  <w:num w:numId="5">
    <w:abstractNumId w:val="24"/>
  </w:num>
  <w:num w:numId="6">
    <w:abstractNumId w:val="20"/>
  </w:num>
  <w:num w:numId="7">
    <w:abstractNumId w:val="31"/>
  </w:num>
  <w:num w:numId="8">
    <w:abstractNumId w:val="29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26"/>
  </w:num>
  <w:num w:numId="14">
    <w:abstractNumId w:val="9"/>
  </w:num>
  <w:num w:numId="15">
    <w:abstractNumId w:val="25"/>
  </w:num>
  <w:num w:numId="16">
    <w:abstractNumId w:val="40"/>
  </w:num>
  <w:num w:numId="17">
    <w:abstractNumId w:val="23"/>
  </w:num>
  <w:num w:numId="18">
    <w:abstractNumId w:val="18"/>
  </w:num>
  <w:num w:numId="19">
    <w:abstractNumId w:val="35"/>
  </w:num>
  <w:num w:numId="20">
    <w:abstractNumId w:val="30"/>
  </w:num>
  <w:num w:numId="21">
    <w:abstractNumId w:val="8"/>
  </w:num>
  <w:num w:numId="22">
    <w:abstractNumId w:val="27"/>
  </w:num>
  <w:num w:numId="23">
    <w:abstractNumId w:val="19"/>
  </w:num>
  <w:num w:numId="24">
    <w:abstractNumId w:val="11"/>
  </w:num>
  <w:num w:numId="25">
    <w:abstractNumId w:val="4"/>
  </w:num>
  <w:num w:numId="26">
    <w:abstractNumId w:val="15"/>
  </w:num>
  <w:num w:numId="27">
    <w:abstractNumId w:val="38"/>
  </w:num>
  <w:num w:numId="28">
    <w:abstractNumId w:val="28"/>
  </w:num>
  <w:num w:numId="29">
    <w:abstractNumId w:val="0"/>
  </w:num>
  <w:num w:numId="30">
    <w:abstractNumId w:val="10"/>
  </w:num>
  <w:num w:numId="31">
    <w:abstractNumId w:val="41"/>
  </w:num>
  <w:num w:numId="32">
    <w:abstractNumId w:val="17"/>
  </w:num>
  <w:num w:numId="33">
    <w:abstractNumId w:val="3"/>
  </w:num>
  <w:num w:numId="34">
    <w:abstractNumId w:val="34"/>
  </w:num>
  <w:num w:numId="35">
    <w:abstractNumId w:val="33"/>
  </w:num>
  <w:num w:numId="36">
    <w:abstractNumId w:val="16"/>
  </w:num>
  <w:num w:numId="37">
    <w:abstractNumId w:val="32"/>
  </w:num>
  <w:num w:numId="38">
    <w:abstractNumId w:val="1"/>
  </w:num>
  <w:num w:numId="39">
    <w:abstractNumId w:val="21"/>
  </w:num>
  <w:num w:numId="40">
    <w:abstractNumId w:val="2"/>
  </w:num>
  <w:num w:numId="41">
    <w:abstractNumId w:val="7"/>
  </w:num>
  <w:num w:numId="42">
    <w:abstractNumId w:val="1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1AEF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075AE"/>
    <w:rsid w:val="00010498"/>
    <w:rsid w:val="000104C4"/>
    <w:rsid w:val="0001114E"/>
    <w:rsid w:val="00011D92"/>
    <w:rsid w:val="00011DB9"/>
    <w:rsid w:val="000123C4"/>
    <w:rsid w:val="000131FB"/>
    <w:rsid w:val="0001384A"/>
    <w:rsid w:val="000138E2"/>
    <w:rsid w:val="00013DFA"/>
    <w:rsid w:val="0001439D"/>
    <w:rsid w:val="00015617"/>
    <w:rsid w:val="00015D8E"/>
    <w:rsid w:val="00016522"/>
    <w:rsid w:val="00016F94"/>
    <w:rsid w:val="000170A8"/>
    <w:rsid w:val="00017968"/>
    <w:rsid w:val="00017FB4"/>
    <w:rsid w:val="0002141B"/>
    <w:rsid w:val="00021D7F"/>
    <w:rsid w:val="00023A72"/>
    <w:rsid w:val="00023D8A"/>
    <w:rsid w:val="000252D2"/>
    <w:rsid w:val="00025B9B"/>
    <w:rsid w:val="00026DA8"/>
    <w:rsid w:val="000272FB"/>
    <w:rsid w:val="00027762"/>
    <w:rsid w:val="00032FB7"/>
    <w:rsid w:val="00033D6A"/>
    <w:rsid w:val="00034188"/>
    <w:rsid w:val="000346D7"/>
    <w:rsid w:val="00035404"/>
    <w:rsid w:val="00035C47"/>
    <w:rsid w:val="00036089"/>
    <w:rsid w:val="0003724E"/>
    <w:rsid w:val="0004091F"/>
    <w:rsid w:val="00042A09"/>
    <w:rsid w:val="00042B09"/>
    <w:rsid w:val="0004410A"/>
    <w:rsid w:val="00044197"/>
    <w:rsid w:val="00051F7A"/>
    <w:rsid w:val="0005402C"/>
    <w:rsid w:val="00054250"/>
    <w:rsid w:val="00055180"/>
    <w:rsid w:val="00055471"/>
    <w:rsid w:val="00055AE9"/>
    <w:rsid w:val="00055D27"/>
    <w:rsid w:val="00057831"/>
    <w:rsid w:val="000602AA"/>
    <w:rsid w:val="00061033"/>
    <w:rsid w:val="000615B8"/>
    <w:rsid w:val="0006218B"/>
    <w:rsid w:val="0006440E"/>
    <w:rsid w:val="000657A8"/>
    <w:rsid w:val="000662E3"/>
    <w:rsid w:val="00067ACA"/>
    <w:rsid w:val="00067B8F"/>
    <w:rsid w:val="00067ED8"/>
    <w:rsid w:val="000707B3"/>
    <w:rsid w:val="00070C28"/>
    <w:rsid w:val="00070D04"/>
    <w:rsid w:val="000715A9"/>
    <w:rsid w:val="00071F0A"/>
    <w:rsid w:val="000720DE"/>
    <w:rsid w:val="00073870"/>
    <w:rsid w:val="000746D6"/>
    <w:rsid w:val="00074788"/>
    <w:rsid w:val="000751C3"/>
    <w:rsid w:val="00075BA4"/>
    <w:rsid w:val="00075FE6"/>
    <w:rsid w:val="000767AE"/>
    <w:rsid w:val="00076A48"/>
    <w:rsid w:val="00076C59"/>
    <w:rsid w:val="000771A4"/>
    <w:rsid w:val="000815B7"/>
    <w:rsid w:val="00081788"/>
    <w:rsid w:val="00085590"/>
    <w:rsid w:val="000863AF"/>
    <w:rsid w:val="000863FA"/>
    <w:rsid w:val="000875D1"/>
    <w:rsid w:val="00090A39"/>
    <w:rsid w:val="00090B7E"/>
    <w:rsid w:val="00090CF8"/>
    <w:rsid w:val="000910E1"/>
    <w:rsid w:val="000927C7"/>
    <w:rsid w:val="000935F1"/>
    <w:rsid w:val="00093756"/>
    <w:rsid w:val="000941D8"/>
    <w:rsid w:val="00095589"/>
    <w:rsid w:val="00095F6E"/>
    <w:rsid w:val="000A0FC3"/>
    <w:rsid w:val="000A1367"/>
    <w:rsid w:val="000A145D"/>
    <w:rsid w:val="000A15DB"/>
    <w:rsid w:val="000A2084"/>
    <w:rsid w:val="000A226B"/>
    <w:rsid w:val="000A47FF"/>
    <w:rsid w:val="000A5363"/>
    <w:rsid w:val="000A55FA"/>
    <w:rsid w:val="000A58EB"/>
    <w:rsid w:val="000A62A9"/>
    <w:rsid w:val="000A651F"/>
    <w:rsid w:val="000A74DB"/>
    <w:rsid w:val="000A7610"/>
    <w:rsid w:val="000A78E3"/>
    <w:rsid w:val="000A7B66"/>
    <w:rsid w:val="000A7EA1"/>
    <w:rsid w:val="000B07B0"/>
    <w:rsid w:val="000B10CE"/>
    <w:rsid w:val="000B15C0"/>
    <w:rsid w:val="000B185F"/>
    <w:rsid w:val="000B1C52"/>
    <w:rsid w:val="000B2168"/>
    <w:rsid w:val="000B50CD"/>
    <w:rsid w:val="000B7985"/>
    <w:rsid w:val="000C098C"/>
    <w:rsid w:val="000C0B04"/>
    <w:rsid w:val="000C1283"/>
    <w:rsid w:val="000C344B"/>
    <w:rsid w:val="000C544C"/>
    <w:rsid w:val="000C5D19"/>
    <w:rsid w:val="000C6130"/>
    <w:rsid w:val="000C6F74"/>
    <w:rsid w:val="000C748A"/>
    <w:rsid w:val="000D027D"/>
    <w:rsid w:val="000D02E4"/>
    <w:rsid w:val="000D1377"/>
    <w:rsid w:val="000D17FB"/>
    <w:rsid w:val="000D25AC"/>
    <w:rsid w:val="000D28D8"/>
    <w:rsid w:val="000D3C58"/>
    <w:rsid w:val="000D44D4"/>
    <w:rsid w:val="000D4851"/>
    <w:rsid w:val="000D5771"/>
    <w:rsid w:val="000D5893"/>
    <w:rsid w:val="000D7252"/>
    <w:rsid w:val="000D7A72"/>
    <w:rsid w:val="000E1176"/>
    <w:rsid w:val="000E1E72"/>
    <w:rsid w:val="000E27C9"/>
    <w:rsid w:val="000E2E4F"/>
    <w:rsid w:val="000E3E10"/>
    <w:rsid w:val="000E45D2"/>
    <w:rsid w:val="000E45E5"/>
    <w:rsid w:val="000E4A4B"/>
    <w:rsid w:val="000E5ABF"/>
    <w:rsid w:val="000E64D7"/>
    <w:rsid w:val="000E6AF4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0F607E"/>
    <w:rsid w:val="000F662C"/>
    <w:rsid w:val="000F756B"/>
    <w:rsid w:val="0010059E"/>
    <w:rsid w:val="001020FC"/>
    <w:rsid w:val="00102701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2CB1"/>
    <w:rsid w:val="00113646"/>
    <w:rsid w:val="001139A6"/>
    <w:rsid w:val="00113A2A"/>
    <w:rsid w:val="00113D4A"/>
    <w:rsid w:val="00113F3C"/>
    <w:rsid w:val="00114F21"/>
    <w:rsid w:val="001152D7"/>
    <w:rsid w:val="0011544D"/>
    <w:rsid w:val="001167D9"/>
    <w:rsid w:val="0011796A"/>
    <w:rsid w:val="00117F68"/>
    <w:rsid w:val="00120E4A"/>
    <w:rsid w:val="00121DE9"/>
    <w:rsid w:val="00122425"/>
    <w:rsid w:val="00122BEB"/>
    <w:rsid w:val="0012447F"/>
    <w:rsid w:val="00125838"/>
    <w:rsid w:val="0012584B"/>
    <w:rsid w:val="00125C6A"/>
    <w:rsid w:val="00126025"/>
    <w:rsid w:val="001262A5"/>
    <w:rsid w:val="00126E63"/>
    <w:rsid w:val="00127A78"/>
    <w:rsid w:val="00130CEF"/>
    <w:rsid w:val="001317CF"/>
    <w:rsid w:val="00132082"/>
    <w:rsid w:val="00134C8C"/>
    <w:rsid w:val="00135108"/>
    <w:rsid w:val="001352A1"/>
    <w:rsid w:val="00135A2A"/>
    <w:rsid w:val="00136F1C"/>
    <w:rsid w:val="001371BB"/>
    <w:rsid w:val="001374E5"/>
    <w:rsid w:val="00140E6B"/>
    <w:rsid w:val="00141180"/>
    <w:rsid w:val="001412DC"/>
    <w:rsid w:val="0014334C"/>
    <w:rsid w:val="00143689"/>
    <w:rsid w:val="00143B8D"/>
    <w:rsid w:val="00144A96"/>
    <w:rsid w:val="00144F94"/>
    <w:rsid w:val="001453D6"/>
    <w:rsid w:val="00145826"/>
    <w:rsid w:val="001458FE"/>
    <w:rsid w:val="001471AF"/>
    <w:rsid w:val="001476E9"/>
    <w:rsid w:val="001504F4"/>
    <w:rsid w:val="00150EF3"/>
    <w:rsid w:val="00151D12"/>
    <w:rsid w:val="0015229D"/>
    <w:rsid w:val="00154DE0"/>
    <w:rsid w:val="001560D3"/>
    <w:rsid w:val="00156B6C"/>
    <w:rsid w:val="00157182"/>
    <w:rsid w:val="0016000A"/>
    <w:rsid w:val="00160151"/>
    <w:rsid w:val="00161B06"/>
    <w:rsid w:val="00162FBC"/>
    <w:rsid w:val="001632C9"/>
    <w:rsid w:val="0016375C"/>
    <w:rsid w:val="00163D48"/>
    <w:rsid w:val="00163DB0"/>
    <w:rsid w:val="001644BA"/>
    <w:rsid w:val="001654A5"/>
    <w:rsid w:val="0016576E"/>
    <w:rsid w:val="00166FDA"/>
    <w:rsid w:val="00170760"/>
    <w:rsid w:val="00170B46"/>
    <w:rsid w:val="00170EAC"/>
    <w:rsid w:val="0017107F"/>
    <w:rsid w:val="00171767"/>
    <w:rsid w:val="00173764"/>
    <w:rsid w:val="0017405D"/>
    <w:rsid w:val="0017470D"/>
    <w:rsid w:val="001748BA"/>
    <w:rsid w:val="001764B0"/>
    <w:rsid w:val="0018031C"/>
    <w:rsid w:val="00181CE6"/>
    <w:rsid w:val="00181DF1"/>
    <w:rsid w:val="00182D00"/>
    <w:rsid w:val="00184871"/>
    <w:rsid w:val="00185966"/>
    <w:rsid w:val="00185BF4"/>
    <w:rsid w:val="001905C9"/>
    <w:rsid w:val="00191727"/>
    <w:rsid w:val="001918DF"/>
    <w:rsid w:val="00192B35"/>
    <w:rsid w:val="00192DAD"/>
    <w:rsid w:val="00192F75"/>
    <w:rsid w:val="00193C55"/>
    <w:rsid w:val="00193F19"/>
    <w:rsid w:val="00194C03"/>
    <w:rsid w:val="001A1CFC"/>
    <w:rsid w:val="001A1E5B"/>
    <w:rsid w:val="001A1EBA"/>
    <w:rsid w:val="001A2449"/>
    <w:rsid w:val="001A2D1A"/>
    <w:rsid w:val="001A2F98"/>
    <w:rsid w:val="001A3E0D"/>
    <w:rsid w:val="001A3E96"/>
    <w:rsid w:val="001A56FA"/>
    <w:rsid w:val="001A6181"/>
    <w:rsid w:val="001A7017"/>
    <w:rsid w:val="001A73CD"/>
    <w:rsid w:val="001A76F9"/>
    <w:rsid w:val="001B1850"/>
    <w:rsid w:val="001B46A1"/>
    <w:rsid w:val="001B59E3"/>
    <w:rsid w:val="001B715B"/>
    <w:rsid w:val="001C0EFC"/>
    <w:rsid w:val="001C3129"/>
    <w:rsid w:val="001C44CB"/>
    <w:rsid w:val="001C51E2"/>
    <w:rsid w:val="001C5A38"/>
    <w:rsid w:val="001C5A39"/>
    <w:rsid w:val="001C7324"/>
    <w:rsid w:val="001D0114"/>
    <w:rsid w:val="001D0698"/>
    <w:rsid w:val="001D0E41"/>
    <w:rsid w:val="001D153D"/>
    <w:rsid w:val="001D19F1"/>
    <w:rsid w:val="001D240E"/>
    <w:rsid w:val="001D2DF2"/>
    <w:rsid w:val="001D2E25"/>
    <w:rsid w:val="001D38B9"/>
    <w:rsid w:val="001D3F96"/>
    <w:rsid w:val="001D433E"/>
    <w:rsid w:val="001D4CE8"/>
    <w:rsid w:val="001D5972"/>
    <w:rsid w:val="001D7259"/>
    <w:rsid w:val="001D7552"/>
    <w:rsid w:val="001D772B"/>
    <w:rsid w:val="001E0630"/>
    <w:rsid w:val="001E063C"/>
    <w:rsid w:val="001E0D38"/>
    <w:rsid w:val="001E206E"/>
    <w:rsid w:val="001E42B9"/>
    <w:rsid w:val="001E53AB"/>
    <w:rsid w:val="001E5654"/>
    <w:rsid w:val="001E6902"/>
    <w:rsid w:val="001E7855"/>
    <w:rsid w:val="001F0B34"/>
    <w:rsid w:val="001F16AC"/>
    <w:rsid w:val="001F1C35"/>
    <w:rsid w:val="001F20B8"/>
    <w:rsid w:val="001F4E35"/>
    <w:rsid w:val="001F56CD"/>
    <w:rsid w:val="001F6403"/>
    <w:rsid w:val="001F7276"/>
    <w:rsid w:val="0020092D"/>
    <w:rsid w:val="002016B3"/>
    <w:rsid w:val="002020DB"/>
    <w:rsid w:val="0020217D"/>
    <w:rsid w:val="00202A01"/>
    <w:rsid w:val="0020319A"/>
    <w:rsid w:val="0020435A"/>
    <w:rsid w:val="00204462"/>
    <w:rsid w:val="00206047"/>
    <w:rsid w:val="0020636A"/>
    <w:rsid w:val="002073BD"/>
    <w:rsid w:val="002076DB"/>
    <w:rsid w:val="00207B90"/>
    <w:rsid w:val="00210158"/>
    <w:rsid w:val="00210584"/>
    <w:rsid w:val="0021155E"/>
    <w:rsid w:val="0021408F"/>
    <w:rsid w:val="0022021C"/>
    <w:rsid w:val="00220A26"/>
    <w:rsid w:val="00220D5F"/>
    <w:rsid w:val="0022389A"/>
    <w:rsid w:val="00223C03"/>
    <w:rsid w:val="00223F01"/>
    <w:rsid w:val="00223F25"/>
    <w:rsid w:val="00224E88"/>
    <w:rsid w:val="0022532C"/>
    <w:rsid w:val="00226140"/>
    <w:rsid w:val="0023017D"/>
    <w:rsid w:val="00231196"/>
    <w:rsid w:val="00231540"/>
    <w:rsid w:val="002319C0"/>
    <w:rsid w:val="00231ECC"/>
    <w:rsid w:val="00231F4A"/>
    <w:rsid w:val="00233A2C"/>
    <w:rsid w:val="00233EF5"/>
    <w:rsid w:val="002349C3"/>
    <w:rsid w:val="00234FBF"/>
    <w:rsid w:val="002357E8"/>
    <w:rsid w:val="00235FC2"/>
    <w:rsid w:val="0023767D"/>
    <w:rsid w:val="0023771D"/>
    <w:rsid w:val="0024041B"/>
    <w:rsid w:val="0024135E"/>
    <w:rsid w:val="00241828"/>
    <w:rsid w:val="00241E9C"/>
    <w:rsid w:val="00242077"/>
    <w:rsid w:val="00243836"/>
    <w:rsid w:val="00243B76"/>
    <w:rsid w:val="00243F05"/>
    <w:rsid w:val="00244AF6"/>
    <w:rsid w:val="00244D03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44AA"/>
    <w:rsid w:val="002551A1"/>
    <w:rsid w:val="00255DB8"/>
    <w:rsid w:val="002576D2"/>
    <w:rsid w:val="00260A01"/>
    <w:rsid w:val="00261479"/>
    <w:rsid w:val="00261EC6"/>
    <w:rsid w:val="00262274"/>
    <w:rsid w:val="00262534"/>
    <w:rsid w:val="00264F8C"/>
    <w:rsid w:val="00265B05"/>
    <w:rsid w:val="00266561"/>
    <w:rsid w:val="00266E0C"/>
    <w:rsid w:val="00266E1A"/>
    <w:rsid w:val="0026703C"/>
    <w:rsid w:val="00267117"/>
    <w:rsid w:val="00270DED"/>
    <w:rsid w:val="00271ADD"/>
    <w:rsid w:val="002723FC"/>
    <w:rsid w:val="00273946"/>
    <w:rsid w:val="0027468B"/>
    <w:rsid w:val="002759CD"/>
    <w:rsid w:val="00277B9D"/>
    <w:rsid w:val="00277F16"/>
    <w:rsid w:val="00280EA3"/>
    <w:rsid w:val="00281907"/>
    <w:rsid w:val="00282655"/>
    <w:rsid w:val="00282DAE"/>
    <w:rsid w:val="00282E85"/>
    <w:rsid w:val="00284792"/>
    <w:rsid w:val="00286283"/>
    <w:rsid w:val="00287105"/>
    <w:rsid w:val="00287452"/>
    <w:rsid w:val="00290CC2"/>
    <w:rsid w:val="00291602"/>
    <w:rsid w:val="00292556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41A8"/>
    <w:rsid w:val="002A57B1"/>
    <w:rsid w:val="002A5A93"/>
    <w:rsid w:val="002A6D7C"/>
    <w:rsid w:val="002B043D"/>
    <w:rsid w:val="002B04B9"/>
    <w:rsid w:val="002B0FB4"/>
    <w:rsid w:val="002B12E6"/>
    <w:rsid w:val="002B1329"/>
    <w:rsid w:val="002B2105"/>
    <w:rsid w:val="002B2760"/>
    <w:rsid w:val="002B5256"/>
    <w:rsid w:val="002B57EE"/>
    <w:rsid w:val="002B63E5"/>
    <w:rsid w:val="002B7295"/>
    <w:rsid w:val="002B7483"/>
    <w:rsid w:val="002B753A"/>
    <w:rsid w:val="002B7C26"/>
    <w:rsid w:val="002B7F03"/>
    <w:rsid w:val="002C0A28"/>
    <w:rsid w:val="002C0B56"/>
    <w:rsid w:val="002C0B93"/>
    <w:rsid w:val="002C0D67"/>
    <w:rsid w:val="002C0D78"/>
    <w:rsid w:val="002C0E51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58CC"/>
    <w:rsid w:val="002C6CDA"/>
    <w:rsid w:val="002C761B"/>
    <w:rsid w:val="002D0078"/>
    <w:rsid w:val="002D1354"/>
    <w:rsid w:val="002D1A9D"/>
    <w:rsid w:val="002D1CBC"/>
    <w:rsid w:val="002D2C39"/>
    <w:rsid w:val="002D390F"/>
    <w:rsid w:val="002D4273"/>
    <w:rsid w:val="002D4CBE"/>
    <w:rsid w:val="002D4D2D"/>
    <w:rsid w:val="002D513D"/>
    <w:rsid w:val="002D5D4E"/>
    <w:rsid w:val="002D61E1"/>
    <w:rsid w:val="002D62AC"/>
    <w:rsid w:val="002D71AE"/>
    <w:rsid w:val="002D7409"/>
    <w:rsid w:val="002E0878"/>
    <w:rsid w:val="002E237A"/>
    <w:rsid w:val="002E2D66"/>
    <w:rsid w:val="002E33A2"/>
    <w:rsid w:val="002E3609"/>
    <w:rsid w:val="002E384A"/>
    <w:rsid w:val="002E3D4B"/>
    <w:rsid w:val="002E431F"/>
    <w:rsid w:val="002E5382"/>
    <w:rsid w:val="002E5E3C"/>
    <w:rsid w:val="002E6992"/>
    <w:rsid w:val="002F07F4"/>
    <w:rsid w:val="002F2E6A"/>
    <w:rsid w:val="002F323D"/>
    <w:rsid w:val="002F4228"/>
    <w:rsid w:val="002F570C"/>
    <w:rsid w:val="002F600C"/>
    <w:rsid w:val="002F605D"/>
    <w:rsid w:val="002F673A"/>
    <w:rsid w:val="00300100"/>
    <w:rsid w:val="00300EF7"/>
    <w:rsid w:val="0030187D"/>
    <w:rsid w:val="00301A08"/>
    <w:rsid w:val="00301D92"/>
    <w:rsid w:val="003029E5"/>
    <w:rsid w:val="00303650"/>
    <w:rsid w:val="0030437B"/>
    <w:rsid w:val="00305113"/>
    <w:rsid w:val="003073E7"/>
    <w:rsid w:val="00310511"/>
    <w:rsid w:val="00310654"/>
    <w:rsid w:val="003116B6"/>
    <w:rsid w:val="00311E5C"/>
    <w:rsid w:val="003121F3"/>
    <w:rsid w:val="00312580"/>
    <w:rsid w:val="00313AD1"/>
    <w:rsid w:val="00315407"/>
    <w:rsid w:val="00315734"/>
    <w:rsid w:val="00315C21"/>
    <w:rsid w:val="0031648A"/>
    <w:rsid w:val="0031755E"/>
    <w:rsid w:val="003210E2"/>
    <w:rsid w:val="00321C3D"/>
    <w:rsid w:val="00322567"/>
    <w:rsid w:val="00323333"/>
    <w:rsid w:val="00323798"/>
    <w:rsid w:val="00323A55"/>
    <w:rsid w:val="00324D49"/>
    <w:rsid w:val="00325E98"/>
    <w:rsid w:val="003268D1"/>
    <w:rsid w:val="00326ABC"/>
    <w:rsid w:val="00326DCF"/>
    <w:rsid w:val="00327726"/>
    <w:rsid w:val="00327AF0"/>
    <w:rsid w:val="00327D9D"/>
    <w:rsid w:val="00330694"/>
    <w:rsid w:val="00330A9B"/>
    <w:rsid w:val="00331B49"/>
    <w:rsid w:val="00331E85"/>
    <w:rsid w:val="00331F29"/>
    <w:rsid w:val="003331B5"/>
    <w:rsid w:val="00333A1D"/>
    <w:rsid w:val="0033460B"/>
    <w:rsid w:val="00334F92"/>
    <w:rsid w:val="00335E0B"/>
    <w:rsid w:val="003369A2"/>
    <w:rsid w:val="0033752D"/>
    <w:rsid w:val="00341267"/>
    <w:rsid w:val="0034210D"/>
    <w:rsid w:val="0034291E"/>
    <w:rsid w:val="0034373E"/>
    <w:rsid w:val="003456F8"/>
    <w:rsid w:val="00345BE3"/>
    <w:rsid w:val="00346324"/>
    <w:rsid w:val="0034676D"/>
    <w:rsid w:val="0034685B"/>
    <w:rsid w:val="00347675"/>
    <w:rsid w:val="00347BD4"/>
    <w:rsid w:val="00347C69"/>
    <w:rsid w:val="00347CD5"/>
    <w:rsid w:val="00350B80"/>
    <w:rsid w:val="00351462"/>
    <w:rsid w:val="003525B9"/>
    <w:rsid w:val="00353AC9"/>
    <w:rsid w:val="00353E36"/>
    <w:rsid w:val="00354809"/>
    <w:rsid w:val="00354ACD"/>
    <w:rsid w:val="00354FE6"/>
    <w:rsid w:val="00355401"/>
    <w:rsid w:val="003554E0"/>
    <w:rsid w:val="00355DBF"/>
    <w:rsid w:val="003564AC"/>
    <w:rsid w:val="003576FF"/>
    <w:rsid w:val="00357F80"/>
    <w:rsid w:val="00357FE6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0AC5"/>
    <w:rsid w:val="0037110C"/>
    <w:rsid w:val="00371230"/>
    <w:rsid w:val="00372887"/>
    <w:rsid w:val="00373EDC"/>
    <w:rsid w:val="00374152"/>
    <w:rsid w:val="00374404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6AB6"/>
    <w:rsid w:val="00387555"/>
    <w:rsid w:val="00387B85"/>
    <w:rsid w:val="0039006E"/>
    <w:rsid w:val="0039018B"/>
    <w:rsid w:val="00391AD2"/>
    <w:rsid w:val="00392669"/>
    <w:rsid w:val="00392F89"/>
    <w:rsid w:val="003930FC"/>
    <w:rsid w:val="00393B9D"/>
    <w:rsid w:val="00394823"/>
    <w:rsid w:val="003955A0"/>
    <w:rsid w:val="00395AE5"/>
    <w:rsid w:val="003978DA"/>
    <w:rsid w:val="0039792C"/>
    <w:rsid w:val="003A13B4"/>
    <w:rsid w:val="003A35AF"/>
    <w:rsid w:val="003A47A3"/>
    <w:rsid w:val="003A4986"/>
    <w:rsid w:val="003A72AE"/>
    <w:rsid w:val="003A7751"/>
    <w:rsid w:val="003B022A"/>
    <w:rsid w:val="003B1262"/>
    <w:rsid w:val="003B4A8D"/>
    <w:rsid w:val="003B4EE9"/>
    <w:rsid w:val="003B5D7A"/>
    <w:rsid w:val="003B6120"/>
    <w:rsid w:val="003B6249"/>
    <w:rsid w:val="003B6C34"/>
    <w:rsid w:val="003B72C4"/>
    <w:rsid w:val="003C0E1C"/>
    <w:rsid w:val="003C1D40"/>
    <w:rsid w:val="003C276B"/>
    <w:rsid w:val="003C38C2"/>
    <w:rsid w:val="003C3908"/>
    <w:rsid w:val="003C3A13"/>
    <w:rsid w:val="003C3B25"/>
    <w:rsid w:val="003C48B6"/>
    <w:rsid w:val="003C5DE1"/>
    <w:rsid w:val="003C6A47"/>
    <w:rsid w:val="003C7C89"/>
    <w:rsid w:val="003C7FD9"/>
    <w:rsid w:val="003D1B7D"/>
    <w:rsid w:val="003D3C41"/>
    <w:rsid w:val="003D4318"/>
    <w:rsid w:val="003D46C1"/>
    <w:rsid w:val="003D4D70"/>
    <w:rsid w:val="003D542E"/>
    <w:rsid w:val="003D6140"/>
    <w:rsid w:val="003D6197"/>
    <w:rsid w:val="003D6200"/>
    <w:rsid w:val="003D66C8"/>
    <w:rsid w:val="003D6B2B"/>
    <w:rsid w:val="003D7709"/>
    <w:rsid w:val="003D79C2"/>
    <w:rsid w:val="003D7D5D"/>
    <w:rsid w:val="003E0375"/>
    <w:rsid w:val="003E0C9B"/>
    <w:rsid w:val="003E1CA7"/>
    <w:rsid w:val="003E1CA8"/>
    <w:rsid w:val="003E2B21"/>
    <w:rsid w:val="003E4422"/>
    <w:rsid w:val="003E4FF7"/>
    <w:rsid w:val="003E7278"/>
    <w:rsid w:val="003F0B7E"/>
    <w:rsid w:val="003F1131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E5B"/>
    <w:rsid w:val="00406F3A"/>
    <w:rsid w:val="00407296"/>
    <w:rsid w:val="00407626"/>
    <w:rsid w:val="00410B6F"/>
    <w:rsid w:val="004120E8"/>
    <w:rsid w:val="00412253"/>
    <w:rsid w:val="00413ABB"/>
    <w:rsid w:val="0041478D"/>
    <w:rsid w:val="00415770"/>
    <w:rsid w:val="00415FC6"/>
    <w:rsid w:val="00416528"/>
    <w:rsid w:val="004179EB"/>
    <w:rsid w:val="00417D4C"/>
    <w:rsid w:val="00421292"/>
    <w:rsid w:val="00422A54"/>
    <w:rsid w:val="00422C62"/>
    <w:rsid w:val="0042339B"/>
    <w:rsid w:val="00425B8D"/>
    <w:rsid w:val="00426075"/>
    <w:rsid w:val="004261F6"/>
    <w:rsid w:val="00426711"/>
    <w:rsid w:val="00426A0A"/>
    <w:rsid w:val="00430270"/>
    <w:rsid w:val="004303BA"/>
    <w:rsid w:val="004310BA"/>
    <w:rsid w:val="00432270"/>
    <w:rsid w:val="00434060"/>
    <w:rsid w:val="00434D32"/>
    <w:rsid w:val="00435342"/>
    <w:rsid w:val="00435A75"/>
    <w:rsid w:val="00436E44"/>
    <w:rsid w:val="00437173"/>
    <w:rsid w:val="0044012A"/>
    <w:rsid w:val="004409EE"/>
    <w:rsid w:val="00441D52"/>
    <w:rsid w:val="00442312"/>
    <w:rsid w:val="004424DA"/>
    <w:rsid w:val="00442E83"/>
    <w:rsid w:val="004432F6"/>
    <w:rsid w:val="004446C5"/>
    <w:rsid w:val="00445219"/>
    <w:rsid w:val="004452B6"/>
    <w:rsid w:val="004469F9"/>
    <w:rsid w:val="00446B2D"/>
    <w:rsid w:val="00446F85"/>
    <w:rsid w:val="004479EA"/>
    <w:rsid w:val="00450B02"/>
    <w:rsid w:val="00450C06"/>
    <w:rsid w:val="00451586"/>
    <w:rsid w:val="00451615"/>
    <w:rsid w:val="004520DA"/>
    <w:rsid w:val="004522B4"/>
    <w:rsid w:val="00452891"/>
    <w:rsid w:val="00452900"/>
    <w:rsid w:val="00452A5B"/>
    <w:rsid w:val="00452CED"/>
    <w:rsid w:val="00452FE4"/>
    <w:rsid w:val="00453087"/>
    <w:rsid w:val="00453189"/>
    <w:rsid w:val="00454813"/>
    <w:rsid w:val="004569A2"/>
    <w:rsid w:val="00456AC9"/>
    <w:rsid w:val="0045759B"/>
    <w:rsid w:val="004619D4"/>
    <w:rsid w:val="00461BFF"/>
    <w:rsid w:val="00461DF8"/>
    <w:rsid w:val="0046257E"/>
    <w:rsid w:val="004642C0"/>
    <w:rsid w:val="0046775E"/>
    <w:rsid w:val="004677F7"/>
    <w:rsid w:val="004708E3"/>
    <w:rsid w:val="00470D92"/>
    <w:rsid w:val="00471EC0"/>
    <w:rsid w:val="00472492"/>
    <w:rsid w:val="00473A8D"/>
    <w:rsid w:val="004746D8"/>
    <w:rsid w:val="00475510"/>
    <w:rsid w:val="0047586E"/>
    <w:rsid w:val="00475D67"/>
    <w:rsid w:val="00477A2F"/>
    <w:rsid w:val="00477CEA"/>
    <w:rsid w:val="00480E9D"/>
    <w:rsid w:val="00481867"/>
    <w:rsid w:val="00481DC1"/>
    <w:rsid w:val="00482AE8"/>
    <w:rsid w:val="00485168"/>
    <w:rsid w:val="004851ED"/>
    <w:rsid w:val="0048588A"/>
    <w:rsid w:val="004859D0"/>
    <w:rsid w:val="00487ED9"/>
    <w:rsid w:val="00490397"/>
    <w:rsid w:val="00490692"/>
    <w:rsid w:val="00492663"/>
    <w:rsid w:val="0049307B"/>
    <w:rsid w:val="00494894"/>
    <w:rsid w:val="004948F3"/>
    <w:rsid w:val="00495276"/>
    <w:rsid w:val="004952D7"/>
    <w:rsid w:val="00495F6A"/>
    <w:rsid w:val="00496108"/>
    <w:rsid w:val="00496192"/>
    <w:rsid w:val="00496EAF"/>
    <w:rsid w:val="00497373"/>
    <w:rsid w:val="00497B08"/>
    <w:rsid w:val="00497F41"/>
    <w:rsid w:val="004A0830"/>
    <w:rsid w:val="004A0E05"/>
    <w:rsid w:val="004A11C7"/>
    <w:rsid w:val="004A18D7"/>
    <w:rsid w:val="004A1B26"/>
    <w:rsid w:val="004A2538"/>
    <w:rsid w:val="004A3BDC"/>
    <w:rsid w:val="004A4A80"/>
    <w:rsid w:val="004A4DC0"/>
    <w:rsid w:val="004A5489"/>
    <w:rsid w:val="004A7690"/>
    <w:rsid w:val="004B0720"/>
    <w:rsid w:val="004B367B"/>
    <w:rsid w:val="004B36CE"/>
    <w:rsid w:val="004B4DAA"/>
    <w:rsid w:val="004B6616"/>
    <w:rsid w:val="004B7AD5"/>
    <w:rsid w:val="004B7B53"/>
    <w:rsid w:val="004C045C"/>
    <w:rsid w:val="004C07D6"/>
    <w:rsid w:val="004C0F3F"/>
    <w:rsid w:val="004C17CB"/>
    <w:rsid w:val="004C1A68"/>
    <w:rsid w:val="004C420E"/>
    <w:rsid w:val="004C4385"/>
    <w:rsid w:val="004C6910"/>
    <w:rsid w:val="004C73A9"/>
    <w:rsid w:val="004C7929"/>
    <w:rsid w:val="004D0248"/>
    <w:rsid w:val="004D0B47"/>
    <w:rsid w:val="004D0BDF"/>
    <w:rsid w:val="004D1BE3"/>
    <w:rsid w:val="004D2424"/>
    <w:rsid w:val="004D2C12"/>
    <w:rsid w:val="004D3A0B"/>
    <w:rsid w:val="004D469E"/>
    <w:rsid w:val="004D4B67"/>
    <w:rsid w:val="004D5182"/>
    <w:rsid w:val="004D7948"/>
    <w:rsid w:val="004E1BE7"/>
    <w:rsid w:val="004E23F3"/>
    <w:rsid w:val="004E2A6E"/>
    <w:rsid w:val="004E3405"/>
    <w:rsid w:val="004E3A57"/>
    <w:rsid w:val="004E4378"/>
    <w:rsid w:val="004E4975"/>
    <w:rsid w:val="004E4BBD"/>
    <w:rsid w:val="004E5018"/>
    <w:rsid w:val="004E5200"/>
    <w:rsid w:val="004E5635"/>
    <w:rsid w:val="004E5EFE"/>
    <w:rsid w:val="004E6B64"/>
    <w:rsid w:val="004E6E08"/>
    <w:rsid w:val="004E79AF"/>
    <w:rsid w:val="004F064A"/>
    <w:rsid w:val="004F0FD3"/>
    <w:rsid w:val="004F1222"/>
    <w:rsid w:val="004F30F4"/>
    <w:rsid w:val="004F33C5"/>
    <w:rsid w:val="004F3422"/>
    <w:rsid w:val="004F3AC4"/>
    <w:rsid w:val="004F3FEB"/>
    <w:rsid w:val="004F4ABE"/>
    <w:rsid w:val="004F5602"/>
    <w:rsid w:val="004F5BB4"/>
    <w:rsid w:val="004F6AEC"/>
    <w:rsid w:val="004F7933"/>
    <w:rsid w:val="005014CD"/>
    <w:rsid w:val="00501793"/>
    <w:rsid w:val="005028C8"/>
    <w:rsid w:val="00504A30"/>
    <w:rsid w:val="00505BFD"/>
    <w:rsid w:val="005074D5"/>
    <w:rsid w:val="00510AA1"/>
    <w:rsid w:val="00511E6F"/>
    <w:rsid w:val="005127CE"/>
    <w:rsid w:val="00512879"/>
    <w:rsid w:val="00513282"/>
    <w:rsid w:val="00515056"/>
    <w:rsid w:val="005158CD"/>
    <w:rsid w:val="00516FC0"/>
    <w:rsid w:val="005204CB"/>
    <w:rsid w:val="0052211A"/>
    <w:rsid w:val="00522208"/>
    <w:rsid w:val="00523DAE"/>
    <w:rsid w:val="005240BD"/>
    <w:rsid w:val="00524BCF"/>
    <w:rsid w:val="00524F37"/>
    <w:rsid w:val="00525AEA"/>
    <w:rsid w:val="00525FA8"/>
    <w:rsid w:val="005272D8"/>
    <w:rsid w:val="00530B7D"/>
    <w:rsid w:val="00531EA2"/>
    <w:rsid w:val="00532BBA"/>
    <w:rsid w:val="00532D2D"/>
    <w:rsid w:val="00532D90"/>
    <w:rsid w:val="00533D48"/>
    <w:rsid w:val="00534130"/>
    <w:rsid w:val="005342FE"/>
    <w:rsid w:val="00534CEA"/>
    <w:rsid w:val="00535518"/>
    <w:rsid w:val="00535887"/>
    <w:rsid w:val="005359DB"/>
    <w:rsid w:val="00535A6B"/>
    <w:rsid w:val="00535B80"/>
    <w:rsid w:val="005369E8"/>
    <w:rsid w:val="00536B4D"/>
    <w:rsid w:val="005402E0"/>
    <w:rsid w:val="0054139F"/>
    <w:rsid w:val="005418F5"/>
    <w:rsid w:val="005419E9"/>
    <w:rsid w:val="00541DC9"/>
    <w:rsid w:val="00542475"/>
    <w:rsid w:val="00542EDF"/>
    <w:rsid w:val="005440CF"/>
    <w:rsid w:val="00546397"/>
    <w:rsid w:val="00550C9C"/>
    <w:rsid w:val="00551444"/>
    <w:rsid w:val="005515FA"/>
    <w:rsid w:val="005516A8"/>
    <w:rsid w:val="005532B7"/>
    <w:rsid w:val="005533C4"/>
    <w:rsid w:val="00560346"/>
    <w:rsid w:val="00560786"/>
    <w:rsid w:val="005618FA"/>
    <w:rsid w:val="00562598"/>
    <w:rsid w:val="0056268F"/>
    <w:rsid w:val="00562BE0"/>
    <w:rsid w:val="00563610"/>
    <w:rsid w:val="00563BD7"/>
    <w:rsid w:val="00564B56"/>
    <w:rsid w:val="00565942"/>
    <w:rsid w:val="00565AC5"/>
    <w:rsid w:val="00565C3C"/>
    <w:rsid w:val="00566963"/>
    <w:rsid w:val="00566974"/>
    <w:rsid w:val="005673CC"/>
    <w:rsid w:val="005674B3"/>
    <w:rsid w:val="00567623"/>
    <w:rsid w:val="00567EA0"/>
    <w:rsid w:val="0057085B"/>
    <w:rsid w:val="00570C6B"/>
    <w:rsid w:val="005718F6"/>
    <w:rsid w:val="0057243E"/>
    <w:rsid w:val="00572DF6"/>
    <w:rsid w:val="00573388"/>
    <w:rsid w:val="00573AB6"/>
    <w:rsid w:val="00574973"/>
    <w:rsid w:val="005751B1"/>
    <w:rsid w:val="00577D77"/>
    <w:rsid w:val="00580725"/>
    <w:rsid w:val="005807CD"/>
    <w:rsid w:val="00581465"/>
    <w:rsid w:val="005835E1"/>
    <w:rsid w:val="00584471"/>
    <w:rsid w:val="00584C9B"/>
    <w:rsid w:val="00586657"/>
    <w:rsid w:val="00586FDE"/>
    <w:rsid w:val="00587B6A"/>
    <w:rsid w:val="00587C9B"/>
    <w:rsid w:val="00587F5D"/>
    <w:rsid w:val="005909A3"/>
    <w:rsid w:val="00590E5A"/>
    <w:rsid w:val="005939D9"/>
    <w:rsid w:val="00593E65"/>
    <w:rsid w:val="005940D1"/>
    <w:rsid w:val="00594E34"/>
    <w:rsid w:val="00596B3D"/>
    <w:rsid w:val="00597D55"/>
    <w:rsid w:val="00597F2E"/>
    <w:rsid w:val="005A00A1"/>
    <w:rsid w:val="005A00F1"/>
    <w:rsid w:val="005A0473"/>
    <w:rsid w:val="005A2279"/>
    <w:rsid w:val="005A2BB7"/>
    <w:rsid w:val="005A32A6"/>
    <w:rsid w:val="005A3A8D"/>
    <w:rsid w:val="005A483E"/>
    <w:rsid w:val="005A4ADA"/>
    <w:rsid w:val="005A5DB5"/>
    <w:rsid w:val="005A6A75"/>
    <w:rsid w:val="005A6F2F"/>
    <w:rsid w:val="005B03DD"/>
    <w:rsid w:val="005B17D2"/>
    <w:rsid w:val="005B24AF"/>
    <w:rsid w:val="005B283E"/>
    <w:rsid w:val="005B2BE8"/>
    <w:rsid w:val="005B3A18"/>
    <w:rsid w:val="005B41AA"/>
    <w:rsid w:val="005B4F61"/>
    <w:rsid w:val="005B50EF"/>
    <w:rsid w:val="005B57EF"/>
    <w:rsid w:val="005B69CF"/>
    <w:rsid w:val="005B6DF8"/>
    <w:rsid w:val="005C0524"/>
    <w:rsid w:val="005C087B"/>
    <w:rsid w:val="005C0C5C"/>
    <w:rsid w:val="005C2A99"/>
    <w:rsid w:val="005C3056"/>
    <w:rsid w:val="005C3812"/>
    <w:rsid w:val="005C5968"/>
    <w:rsid w:val="005C709D"/>
    <w:rsid w:val="005C7707"/>
    <w:rsid w:val="005D0BFE"/>
    <w:rsid w:val="005D133C"/>
    <w:rsid w:val="005D14A0"/>
    <w:rsid w:val="005D2474"/>
    <w:rsid w:val="005D26A2"/>
    <w:rsid w:val="005D2F33"/>
    <w:rsid w:val="005D33D4"/>
    <w:rsid w:val="005D3859"/>
    <w:rsid w:val="005D5CF2"/>
    <w:rsid w:val="005D7FCA"/>
    <w:rsid w:val="005E1232"/>
    <w:rsid w:val="005E37DA"/>
    <w:rsid w:val="005E3D9B"/>
    <w:rsid w:val="005E40BB"/>
    <w:rsid w:val="005E4185"/>
    <w:rsid w:val="005E485F"/>
    <w:rsid w:val="005E4C64"/>
    <w:rsid w:val="005F0FD7"/>
    <w:rsid w:val="005F1EC4"/>
    <w:rsid w:val="005F2604"/>
    <w:rsid w:val="005F2D68"/>
    <w:rsid w:val="005F3758"/>
    <w:rsid w:val="005F400F"/>
    <w:rsid w:val="005F437B"/>
    <w:rsid w:val="005F71F9"/>
    <w:rsid w:val="006002AA"/>
    <w:rsid w:val="0060412C"/>
    <w:rsid w:val="006051D7"/>
    <w:rsid w:val="00605367"/>
    <w:rsid w:val="00605E13"/>
    <w:rsid w:val="00607B1B"/>
    <w:rsid w:val="00607F2D"/>
    <w:rsid w:val="006100D2"/>
    <w:rsid w:val="006107BB"/>
    <w:rsid w:val="00611A35"/>
    <w:rsid w:val="00611C67"/>
    <w:rsid w:val="0061308C"/>
    <w:rsid w:val="00614076"/>
    <w:rsid w:val="00614368"/>
    <w:rsid w:val="00614E5A"/>
    <w:rsid w:val="0061582B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404"/>
    <w:rsid w:val="0063197E"/>
    <w:rsid w:val="00632DC1"/>
    <w:rsid w:val="00634686"/>
    <w:rsid w:val="00635809"/>
    <w:rsid w:val="00635F83"/>
    <w:rsid w:val="006365E5"/>
    <w:rsid w:val="00636D54"/>
    <w:rsid w:val="00636EB6"/>
    <w:rsid w:val="00637A6B"/>
    <w:rsid w:val="006402B1"/>
    <w:rsid w:val="00640B8B"/>
    <w:rsid w:val="00640E83"/>
    <w:rsid w:val="00640FE7"/>
    <w:rsid w:val="00641090"/>
    <w:rsid w:val="00643AB4"/>
    <w:rsid w:val="00643E28"/>
    <w:rsid w:val="00643E5C"/>
    <w:rsid w:val="00645153"/>
    <w:rsid w:val="006455B8"/>
    <w:rsid w:val="00645F79"/>
    <w:rsid w:val="00646223"/>
    <w:rsid w:val="006468BA"/>
    <w:rsid w:val="006470A6"/>
    <w:rsid w:val="00647993"/>
    <w:rsid w:val="00650191"/>
    <w:rsid w:val="00650304"/>
    <w:rsid w:val="0065103C"/>
    <w:rsid w:val="006529FA"/>
    <w:rsid w:val="006535F8"/>
    <w:rsid w:val="00653B45"/>
    <w:rsid w:val="006550CE"/>
    <w:rsid w:val="006566AB"/>
    <w:rsid w:val="006571C6"/>
    <w:rsid w:val="00657376"/>
    <w:rsid w:val="006600BA"/>
    <w:rsid w:val="0066012F"/>
    <w:rsid w:val="0066093C"/>
    <w:rsid w:val="00663B7B"/>
    <w:rsid w:val="006640FF"/>
    <w:rsid w:val="00666A88"/>
    <w:rsid w:val="00667145"/>
    <w:rsid w:val="006673BB"/>
    <w:rsid w:val="006674A4"/>
    <w:rsid w:val="006707F5"/>
    <w:rsid w:val="00670AD9"/>
    <w:rsid w:val="006713C2"/>
    <w:rsid w:val="00671713"/>
    <w:rsid w:val="0067287B"/>
    <w:rsid w:val="00672EDC"/>
    <w:rsid w:val="006735A6"/>
    <w:rsid w:val="006735E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CBC"/>
    <w:rsid w:val="00680E3F"/>
    <w:rsid w:val="00681FE9"/>
    <w:rsid w:val="00682166"/>
    <w:rsid w:val="006821E3"/>
    <w:rsid w:val="0068286F"/>
    <w:rsid w:val="00682E8F"/>
    <w:rsid w:val="00684761"/>
    <w:rsid w:val="00684CB6"/>
    <w:rsid w:val="00685CE2"/>
    <w:rsid w:val="00685DB6"/>
    <w:rsid w:val="006862EF"/>
    <w:rsid w:val="0069299B"/>
    <w:rsid w:val="00693137"/>
    <w:rsid w:val="00693518"/>
    <w:rsid w:val="00694C51"/>
    <w:rsid w:val="006955E7"/>
    <w:rsid w:val="0069567C"/>
    <w:rsid w:val="00695FCF"/>
    <w:rsid w:val="00696965"/>
    <w:rsid w:val="00696DDA"/>
    <w:rsid w:val="006970D5"/>
    <w:rsid w:val="0069775C"/>
    <w:rsid w:val="00697933"/>
    <w:rsid w:val="006A013E"/>
    <w:rsid w:val="006A135C"/>
    <w:rsid w:val="006A13C2"/>
    <w:rsid w:val="006A15AD"/>
    <w:rsid w:val="006A1639"/>
    <w:rsid w:val="006A19D8"/>
    <w:rsid w:val="006A23F8"/>
    <w:rsid w:val="006A3B3E"/>
    <w:rsid w:val="006A4CFB"/>
    <w:rsid w:val="006A71A2"/>
    <w:rsid w:val="006A7AE1"/>
    <w:rsid w:val="006B0B9D"/>
    <w:rsid w:val="006B0DD2"/>
    <w:rsid w:val="006B1AA0"/>
    <w:rsid w:val="006B1E9E"/>
    <w:rsid w:val="006B2505"/>
    <w:rsid w:val="006B2578"/>
    <w:rsid w:val="006B2D51"/>
    <w:rsid w:val="006B4075"/>
    <w:rsid w:val="006B5E7A"/>
    <w:rsid w:val="006B6956"/>
    <w:rsid w:val="006B707F"/>
    <w:rsid w:val="006B764C"/>
    <w:rsid w:val="006B7CAE"/>
    <w:rsid w:val="006C035E"/>
    <w:rsid w:val="006C09E3"/>
    <w:rsid w:val="006C0A34"/>
    <w:rsid w:val="006C0DA3"/>
    <w:rsid w:val="006C2667"/>
    <w:rsid w:val="006C3B4B"/>
    <w:rsid w:val="006C41FF"/>
    <w:rsid w:val="006C4E62"/>
    <w:rsid w:val="006C5B37"/>
    <w:rsid w:val="006C7B8B"/>
    <w:rsid w:val="006D0F95"/>
    <w:rsid w:val="006D1496"/>
    <w:rsid w:val="006D30E8"/>
    <w:rsid w:val="006D3960"/>
    <w:rsid w:val="006D4561"/>
    <w:rsid w:val="006D502F"/>
    <w:rsid w:val="006D5067"/>
    <w:rsid w:val="006D5713"/>
    <w:rsid w:val="006D6DE6"/>
    <w:rsid w:val="006E1B76"/>
    <w:rsid w:val="006E1EA3"/>
    <w:rsid w:val="006E20BC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6B4E"/>
    <w:rsid w:val="006F7069"/>
    <w:rsid w:val="006F707F"/>
    <w:rsid w:val="00701873"/>
    <w:rsid w:val="0070382E"/>
    <w:rsid w:val="00703A23"/>
    <w:rsid w:val="00703A2E"/>
    <w:rsid w:val="007050A0"/>
    <w:rsid w:val="00705C20"/>
    <w:rsid w:val="0070621C"/>
    <w:rsid w:val="00706682"/>
    <w:rsid w:val="00707993"/>
    <w:rsid w:val="00707F1D"/>
    <w:rsid w:val="0071123A"/>
    <w:rsid w:val="00711E25"/>
    <w:rsid w:val="00711FB5"/>
    <w:rsid w:val="00712AC4"/>
    <w:rsid w:val="00712FB7"/>
    <w:rsid w:val="007138CC"/>
    <w:rsid w:val="00713AD7"/>
    <w:rsid w:val="00713CA3"/>
    <w:rsid w:val="0071425A"/>
    <w:rsid w:val="0071439B"/>
    <w:rsid w:val="00714C27"/>
    <w:rsid w:val="0072122E"/>
    <w:rsid w:val="00723214"/>
    <w:rsid w:val="00723B85"/>
    <w:rsid w:val="00724F81"/>
    <w:rsid w:val="00725232"/>
    <w:rsid w:val="007254CF"/>
    <w:rsid w:val="007257B8"/>
    <w:rsid w:val="007265A4"/>
    <w:rsid w:val="0072698A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425"/>
    <w:rsid w:val="00736A14"/>
    <w:rsid w:val="00736FC8"/>
    <w:rsid w:val="00737013"/>
    <w:rsid w:val="0073764E"/>
    <w:rsid w:val="00737DDD"/>
    <w:rsid w:val="007434D5"/>
    <w:rsid w:val="007452BC"/>
    <w:rsid w:val="007478BB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2D76"/>
    <w:rsid w:val="00763FB0"/>
    <w:rsid w:val="007644E5"/>
    <w:rsid w:val="00765150"/>
    <w:rsid w:val="0076585D"/>
    <w:rsid w:val="00766121"/>
    <w:rsid w:val="00770D2D"/>
    <w:rsid w:val="00770D5D"/>
    <w:rsid w:val="00771112"/>
    <w:rsid w:val="0077164C"/>
    <w:rsid w:val="00772C0B"/>
    <w:rsid w:val="0077338A"/>
    <w:rsid w:val="007738D0"/>
    <w:rsid w:val="00773EC0"/>
    <w:rsid w:val="0077409B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2C25"/>
    <w:rsid w:val="00783A0B"/>
    <w:rsid w:val="00783C15"/>
    <w:rsid w:val="00783E8C"/>
    <w:rsid w:val="00784DD0"/>
    <w:rsid w:val="00785290"/>
    <w:rsid w:val="007862F7"/>
    <w:rsid w:val="00786EC7"/>
    <w:rsid w:val="0078704D"/>
    <w:rsid w:val="0078737D"/>
    <w:rsid w:val="007879C6"/>
    <w:rsid w:val="00790464"/>
    <w:rsid w:val="007912F9"/>
    <w:rsid w:val="00791D81"/>
    <w:rsid w:val="007939B6"/>
    <w:rsid w:val="00793D62"/>
    <w:rsid w:val="00793DB9"/>
    <w:rsid w:val="0079427C"/>
    <w:rsid w:val="00794F09"/>
    <w:rsid w:val="00795C3B"/>
    <w:rsid w:val="00795D57"/>
    <w:rsid w:val="007964C7"/>
    <w:rsid w:val="007977C0"/>
    <w:rsid w:val="007A1B7F"/>
    <w:rsid w:val="007A1BDA"/>
    <w:rsid w:val="007A2AC4"/>
    <w:rsid w:val="007A2AE6"/>
    <w:rsid w:val="007A35B4"/>
    <w:rsid w:val="007A4846"/>
    <w:rsid w:val="007A4969"/>
    <w:rsid w:val="007A603F"/>
    <w:rsid w:val="007A62AA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3152"/>
    <w:rsid w:val="007B3604"/>
    <w:rsid w:val="007B48F8"/>
    <w:rsid w:val="007B51E6"/>
    <w:rsid w:val="007B55B5"/>
    <w:rsid w:val="007B5624"/>
    <w:rsid w:val="007B682E"/>
    <w:rsid w:val="007C28B7"/>
    <w:rsid w:val="007C34EA"/>
    <w:rsid w:val="007C3D92"/>
    <w:rsid w:val="007C4733"/>
    <w:rsid w:val="007C4D63"/>
    <w:rsid w:val="007C5420"/>
    <w:rsid w:val="007C582F"/>
    <w:rsid w:val="007C607D"/>
    <w:rsid w:val="007C6E19"/>
    <w:rsid w:val="007C7F7B"/>
    <w:rsid w:val="007D0BC0"/>
    <w:rsid w:val="007D0BF1"/>
    <w:rsid w:val="007D1008"/>
    <w:rsid w:val="007D1B67"/>
    <w:rsid w:val="007D2672"/>
    <w:rsid w:val="007D2F4B"/>
    <w:rsid w:val="007D31B0"/>
    <w:rsid w:val="007D394D"/>
    <w:rsid w:val="007D3B7E"/>
    <w:rsid w:val="007D4B6B"/>
    <w:rsid w:val="007D62DC"/>
    <w:rsid w:val="007D783D"/>
    <w:rsid w:val="007D7930"/>
    <w:rsid w:val="007D7CCF"/>
    <w:rsid w:val="007E0965"/>
    <w:rsid w:val="007E2425"/>
    <w:rsid w:val="007E565C"/>
    <w:rsid w:val="007E58BF"/>
    <w:rsid w:val="007E5D98"/>
    <w:rsid w:val="007E67E8"/>
    <w:rsid w:val="007E6B04"/>
    <w:rsid w:val="007E6D5A"/>
    <w:rsid w:val="007E728E"/>
    <w:rsid w:val="007E784C"/>
    <w:rsid w:val="007E79F5"/>
    <w:rsid w:val="007F03B2"/>
    <w:rsid w:val="007F083D"/>
    <w:rsid w:val="007F130A"/>
    <w:rsid w:val="007F2D03"/>
    <w:rsid w:val="007F3D4F"/>
    <w:rsid w:val="007F46C8"/>
    <w:rsid w:val="007F51D5"/>
    <w:rsid w:val="007F5D18"/>
    <w:rsid w:val="007F6798"/>
    <w:rsid w:val="00801420"/>
    <w:rsid w:val="00802069"/>
    <w:rsid w:val="008025DC"/>
    <w:rsid w:val="00802652"/>
    <w:rsid w:val="008027A4"/>
    <w:rsid w:val="00803C62"/>
    <w:rsid w:val="00804D60"/>
    <w:rsid w:val="00805365"/>
    <w:rsid w:val="00805573"/>
    <w:rsid w:val="00806EC8"/>
    <w:rsid w:val="008078A0"/>
    <w:rsid w:val="008079EA"/>
    <w:rsid w:val="008115C4"/>
    <w:rsid w:val="00812E87"/>
    <w:rsid w:val="00814CE9"/>
    <w:rsid w:val="00815161"/>
    <w:rsid w:val="00815170"/>
    <w:rsid w:val="00815D21"/>
    <w:rsid w:val="00815D37"/>
    <w:rsid w:val="00815D73"/>
    <w:rsid w:val="00816CFE"/>
    <w:rsid w:val="00816F1F"/>
    <w:rsid w:val="008172F5"/>
    <w:rsid w:val="008176D9"/>
    <w:rsid w:val="00820BE1"/>
    <w:rsid w:val="008218B7"/>
    <w:rsid w:val="00822919"/>
    <w:rsid w:val="00825BCB"/>
    <w:rsid w:val="00825CE6"/>
    <w:rsid w:val="0082609D"/>
    <w:rsid w:val="00826910"/>
    <w:rsid w:val="00826F53"/>
    <w:rsid w:val="008270A6"/>
    <w:rsid w:val="008275B2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3796"/>
    <w:rsid w:val="008340F1"/>
    <w:rsid w:val="00834A4A"/>
    <w:rsid w:val="0083539A"/>
    <w:rsid w:val="0083564F"/>
    <w:rsid w:val="008356C6"/>
    <w:rsid w:val="0083673F"/>
    <w:rsid w:val="00837B9C"/>
    <w:rsid w:val="008409F8"/>
    <w:rsid w:val="00843208"/>
    <w:rsid w:val="00843951"/>
    <w:rsid w:val="00844028"/>
    <w:rsid w:val="0084493B"/>
    <w:rsid w:val="00844B59"/>
    <w:rsid w:val="00844F82"/>
    <w:rsid w:val="00845D51"/>
    <w:rsid w:val="008462E6"/>
    <w:rsid w:val="00846331"/>
    <w:rsid w:val="008469EE"/>
    <w:rsid w:val="008475FC"/>
    <w:rsid w:val="008513F9"/>
    <w:rsid w:val="008521CA"/>
    <w:rsid w:val="008522E6"/>
    <w:rsid w:val="00852876"/>
    <w:rsid w:val="00853F5B"/>
    <w:rsid w:val="00854009"/>
    <w:rsid w:val="008557A9"/>
    <w:rsid w:val="0085624B"/>
    <w:rsid w:val="008566B3"/>
    <w:rsid w:val="00856765"/>
    <w:rsid w:val="0085760A"/>
    <w:rsid w:val="008610D3"/>
    <w:rsid w:val="00861853"/>
    <w:rsid w:val="00862613"/>
    <w:rsid w:val="00862746"/>
    <w:rsid w:val="008638C5"/>
    <w:rsid w:val="008642A0"/>
    <w:rsid w:val="00864335"/>
    <w:rsid w:val="0086701C"/>
    <w:rsid w:val="00867AEB"/>
    <w:rsid w:val="0087152C"/>
    <w:rsid w:val="00871FE1"/>
    <w:rsid w:val="00873530"/>
    <w:rsid w:val="0087467A"/>
    <w:rsid w:val="00876C2C"/>
    <w:rsid w:val="00876D26"/>
    <w:rsid w:val="008775A4"/>
    <w:rsid w:val="0087761C"/>
    <w:rsid w:val="008809B6"/>
    <w:rsid w:val="00880BA7"/>
    <w:rsid w:val="00881122"/>
    <w:rsid w:val="008812D5"/>
    <w:rsid w:val="008814D0"/>
    <w:rsid w:val="00881AF4"/>
    <w:rsid w:val="00882B98"/>
    <w:rsid w:val="008831D9"/>
    <w:rsid w:val="008834FE"/>
    <w:rsid w:val="00883BC1"/>
    <w:rsid w:val="00884973"/>
    <w:rsid w:val="00884AE7"/>
    <w:rsid w:val="00884CBF"/>
    <w:rsid w:val="00884F48"/>
    <w:rsid w:val="00886263"/>
    <w:rsid w:val="00890070"/>
    <w:rsid w:val="00890405"/>
    <w:rsid w:val="008907F0"/>
    <w:rsid w:val="00890B27"/>
    <w:rsid w:val="00890D36"/>
    <w:rsid w:val="008920DC"/>
    <w:rsid w:val="008922AD"/>
    <w:rsid w:val="008927EA"/>
    <w:rsid w:val="008927EE"/>
    <w:rsid w:val="00892826"/>
    <w:rsid w:val="00893367"/>
    <w:rsid w:val="00894C0F"/>
    <w:rsid w:val="008956D1"/>
    <w:rsid w:val="008957EF"/>
    <w:rsid w:val="00895BB6"/>
    <w:rsid w:val="0089700B"/>
    <w:rsid w:val="00897087"/>
    <w:rsid w:val="008972B2"/>
    <w:rsid w:val="008976A1"/>
    <w:rsid w:val="00897B0F"/>
    <w:rsid w:val="00897CA1"/>
    <w:rsid w:val="008A0E25"/>
    <w:rsid w:val="008A1766"/>
    <w:rsid w:val="008A1D53"/>
    <w:rsid w:val="008A20C7"/>
    <w:rsid w:val="008A284D"/>
    <w:rsid w:val="008A3F9F"/>
    <w:rsid w:val="008A7911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263"/>
    <w:rsid w:val="008C0A82"/>
    <w:rsid w:val="008C117C"/>
    <w:rsid w:val="008C1649"/>
    <w:rsid w:val="008C483F"/>
    <w:rsid w:val="008C4980"/>
    <w:rsid w:val="008C52BA"/>
    <w:rsid w:val="008C5798"/>
    <w:rsid w:val="008C61D8"/>
    <w:rsid w:val="008D0A24"/>
    <w:rsid w:val="008D257B"/>
    <w:rsid w:val="008D2BDD"/>
    <w:rsid w:val="008D33F8"/>
    <w:rsid w:val="008D40A7"/>
    <w:rsid w:val="008D4BC6"/>
    <w:rsid w:val="008D67E6"/>
    <w:rsid w:val="008D6AAD"/>
    <w:rsid w:val="008E190A"/>
    <w:rsid w:val="008E1C25"/>
    <w:rsid w:val="008E2DB0"/>
    <w:rsid w:val="008E4AD4"/>
    <w:rsid w:val="008E5E39"/>
    <w:rsid w:val="008E70BF"/>
    <w:rsid w:val="008F1906"/>
    <w:rsid w:val="008F1CC5"/>
    <w:rsid w:val="008F1F12"/>
    <w:rsid w:val="008F2550"/>
    <w:rsid w:val="008F2E54"/>
    <w:rsid w:val="008F43E5"/>
    <w:rsid w:val="008F5923"/>
    <w:rsid w:val="008F5A3B"/>
    <w:rsid w:val="008F6975"/>
    <w:rsid w:val="008F72C4"/>
    <w:rsid w:val="008F7EF5"/>
    <w:rsid w:val="00900A5F"/>
    <w:rsid w:val="00900FB3"/>
    <w:rsid w:val="00901861"/>
    <w:rsid w:val="00902050"/>
    <w:rsid w:val="00902108"/>
    <w:rsid w:val="00902865"/>
    <w:rsid w:val="009030D3"/>
    <w:rsid w:val="00903510"/>
    <w:rsid w:val="0090415F"/>
    <w:rsid w:val="00904D89"/>
    <w:rsid w:val="00905756"/>
    <w:rsid w:val="00906DD1"/>
    <w:rsid w:val="00911902"/>
    <w:rsid w:val="00916C10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355F"/>
    <w:rsid w:val="00924122"/>
    <w:rsid w:val="00924169"/>
    <w:rsid w:val="009241E0"/>
    <w:rsid w:val="00924D7D"/>
    <w:rsid w:val="00927747"/>
    <w:rsid w:val="00927D6F"/>
    <w:rsid w:val="00927F62"/>
    <w:rsid w:val="00930CCE"/>
    <w:rsid w:val="00931A17"/>
    <w:rsid w:val="00934178"/>
    <w:rsid w:val="009353AC"/>
    <w:rsid w:val="00935E1A"/>
    <w:rsid w:val="009360C0"/>
    <w:rsid w:val="0093639F"/>
    <w:rsid w:val="0093653B"/>
    <w:rsid w:val="00936FF7"/>
    <w:rsid w:val="00937550"/>
    <w:rsid w:val="0094028A"/>
    <w:rsid w:val="00940E82"/>
    <w:rsid w:val="0094183B"/>
    <w:rsid w:val="0094398C"/>
    <w:rsid w:val="00943ACC"/>
    <w:rsid w:val="00944C8D"/>
    <w:rsid w:val="00944E22"/>
    <w:rsid w:val="009461CD"/>
    <w:rsid w:val="00947084"/>
    <w:rsid w:val="009476CC"/>
    <w:rsid w:val="00947FBD"/>
    <w:rsid w:val="00950F90"/>
    <w:rsid w:val="0095138D"/>
    <w:rsid w:val="00953E98"/>
    <w:rsid w:val="009543D1"/>
    <w:rsid w:val="00954A08"/>
    <w:rsid w:val="00955403"/>
    <w:rsid w:val="00955813"/>
    <w:rsid w:val="009570CA"/>
    <w:rsid w:val="00957526"/>
    <w:rsid w:val="00957C85"/>
    <w:rsid w:val="00957D24"/>
    <w:rsid w:val="00960264"/>
    <w:rsid w:val="00961FC4"/>
    <w:rsid w:val="00961FD4"/>
    <w:rsid w:val="009627FC"/>
    <w:rsid w:val="00962A95"/>
    <w:rsid w:val="00962B91"/>
    <w:rsid w:val="009630B4"/>
    <w:rsid w:val="00963735"/>
    <w:rsid w:val="00963A49"/>
    <w:rsid w:val="009650B3"/>
    <w:rsid w:val="00965964"/>
    <w:rsid w:val="00967B7A"/>
    <w:rsid w:val="009701EE"/>
    <w:rsid w:val="00970D44"/>
    <w:rsid w:val="00970F32"/>
    <w:rsid w:val="0097162D"/>
    <w:rsid w:val="009718FD"/>
    <w:rsid w:val="009721C4"/>
    <w:rsid w:val="009722DB"/>
    <w:rsid w:val="0097272E"/>
    <w:rsid w:val="009732CE"/>
    <w:rsid w:val="00973B94"/>
    <w:rsid w:val="00975FAD"/>
    <w:rsid w:val="00976F80"/>
    <w:rsid w:val="00977B89"/>
    <w:rsid w:val="009805F2"/>
    <w:rsid w:val="00983548"/>
    <w:rsid w:val="00984C33"/>
    <w:rsid w:val="00984E46"/>
    <w:rsid w:val="00985060"/>
    <w:rsid w:val="00986031"/>
    <w:rsid w:val="00986052"/>
    <w:rsid w:val="00987C74"/>
    <w:rsid w:val="00990397"/>
    <w:rsid w:val="00991B11"/>
    <w:rsid w:val="00991EDB"/>
    <w:rsid w:val="009937F7"/>
    <w:rsid w:val="00994D0A"/>
    <w:rsid w:val="00994D71"/>
    <w:rsid w:val="00996C28"/>
    <w:rsid w:val="00996FA7"/>
    <w:rsid w:val="009977C9"/>
    <w:rsid w:val="00997C38"/>
    <w:rsid w:val="009A2117"/>
    <w:rsid w:val="009A2DA3"/>
    <w:rsid w:val="009A37EB"/>
    <w:rsid w:val="009A3ADF"/>
    <w:rsid w:val="009A4477"/>
    <w:rsid w:val="009A662A"/>
    <w:rsid w:val="009A6C03"/>
    <w:rsid w:val="009A76B2"/>
    <w:rsid w:val="009A7F06"/>
    <w:rsid w:val="009A7F2E"/>
    <w:rsid w:val="009B0C1D"/>
    <w:rsid w:val="009B1F97"/>
    <w:rsid w:val="009B2E68"/>
    <w:rsid w:val="009B2F4F"/>
    <w:rsid w:val="009B3995"/>
    <w:rsid w:val="009B4114"/>
    <w:rsid w:val="009B5639"/>
    <w:rsid w:val="009B7FE4"/>
    <w:rsid w:val="009C005C"/>
    <w:rsid w:val="009C17E6"/>
    <w:rsid w:val="009C1828"/>
    <w:rsid w:val="009C1A22"/>
    <w:rsid w:val="009C2C3C"/>
    <w:rsid w:val="009C40A9"/>
    <w:rsid w:val="009C4156"/>
    <w:rsid w:val="009C4513"/>
    <w:rsid w:val="009C5B5F"/>
    <w:rsid w:val="009C60D3"/>
    <w:rsid w:val="009C6982"/>
    <w:rsid w:val="009C6AFA"/>
    <w:rsid w:val="009C7037"/>
    <w:rsid w:val="009C7943"/>
    <w:rsid w:val="009D0AFE"/>
    <w:rsid w:val="009D0D30"/>
    <w:rsid w:val="009D1095"/>
    <w:rsid w:val="009D1A5C"/>
    <w:rsid w:val="009D2EAC"/>
    <w:rsid w:val="009D3515"/>
    <w:rsid w:val="009D3894"/>
    <w:rsid w:val="009D4F4F"/>
    <w:rsid w:val="009D6E1C"/>
    <w:rsid w:val="009D746D"/>
    <w:rsid w:val="009D75DE"/>
    <w:rsid w:val="009D7945"/>
    <w:rsid w:val="009E04E4"/>
    <w:rsid w:val="009E0C18"/>
    <w:rsid w:val="009E159F"/>
    <w:rsid w:val="009E2D21"/>
    <w:rsid w:val="009E2EFA"/>
    <w:rsid w:val="009E30A5"/>
    <w:rsid w:val="009E317A"/>
    <w:rsid w:val="009E3CEE"/>
    <w:rsid w:val="009E3EAC"/>
    <w:rsid w:val="009E3F63"/>
    <w:rsid w:val="009E4342"/>
    <w:rsid w:val="009E52B3"/>
    <w:rsid w:val="009F03B6"/>
    <w:rsid w:val="009F0432"/>
    <w:rsid w:val="009F0ADE"/>
    <w:rsid w:val="009F14B4"/>
    <w:rsid w:val="009F1FB2"/>
    <w:rsid w:val="009F2842"/>
    <w:rsid w:val="009F2CAA"/>
    <w:rsid w:val="009F3D33"/>
    <w:rsid w:val="009F40ED"/>
    <w:rsid w:val="009F451C"/>
    <w:rsid w:val="009F5F7B"/>
    <w:rsid w:val="009F691A"/>
    <w:rsid w:val="00A004B0"/>
    <w:rsid w:val="00A01376"/>
    <w:rsid w:val="00A02114"/>
    <w:rsid w:val="00A0234F"/>
    <w:rsid w:val="00A0298A"/>
    <w:rsid w:val="00A02B53"/>
    <w:rsid w:val="00A03C51"/>
    <w:rsid w:val="00A04007"/>
    <w:rsid w:val="00A04A8F"/>
    <w:rsid w:val="00A04E54"/>
    <w:rsid w:val="00A061EB"/>
    <w:rsid w:val="00A06334"/>
    <w:rsid w:val="00A0698F"/>
    <w:rsid w:val="00A10DFC"/>
    <w:rsid w:val="00A113DF"/>
    <w:rsid w:val="00A114BF"/>
    <w:rsid w:val="00A12A38"/>
    <w:rsid w:val="00A12E53"/>
    <w:rsid w:val="00A13DFC"/>
    <w:rsid w:val="00A157D7"/>
    <w:rsid w:val="00A16B16"/>
    <w:rsid w:val="00A17979"/>
    <w:rsid w:val="00A17BBB"/>
    <w:rsid w:val="00A22325"/>
    <w:rsid w:val="00A223B1"/>
    <w:rsid w:val="00A229E4"/>
    <w:rsid w:val="00A23478"/>
    <w:rsid w:val="00A23E03"/>
    <w:rsid w:val="00A24493"/>
    <w:rsid w:val="00A25176"/>
    <w:rsid w:val="00A26267"/>
    <w:rsid w:val="00A269CF"/>
    <w:rsid w:val="00A30AE9"/>
    <w:rsid w:val="00A311C5"/>
    <w:rsid w:val="00A31C2C"/>
    <w:rsid w:val="00A31C66"/>
    <w:rsid w:val="00A33F8E"/>
    <w:rsid w:val="00A356B3"/>
    <w:rsid w:val="00A35813"/>
    <w:rsid w:val="00A364A1"/>
    <w:rsid w:val="00A36649"/>
    <w:rsid w:val="00A36D32"/>
    <w:rsid w:val="00A36E5F"/>
    <w:rsid w:val="00A401BC"/>
    <w:rsid w:val="00A40F25"/>
    <w:rsid w:val="00A412A3"/>
    <w:rsid w:val="00A41CE1"/>
    <w:rsid w:val="00A423A7"/>
    <w:rsid w:val="00A430EB"/>
    <w:rsid w:val="00A43962"/>
    <w:rsid w:val="00A440D2"/>
    <w:rsid w:val="00A44F7D"/>
    <w:rsid w:val="00A4584C"/>
    <w:rsid w:val="00A47ED5"/>
    <w:rsid w:val="00A52C49"/>
    <w:rsid w:val="00A54C2F"/>
    <w:rsid w:val="00A54DBF"/>
    <w:rsid w:val="00A5534E"/>
    <w:rsid w:val="00A57022"/>
    <w:rsid w:val="00A608FD"/>
    <w:rsid w:val="00A60FC8"/>
    <w:rsid w:val="00A6177F"/>
    <w:rsid w:val="00A61A79"/>
    <w:rsid w:val="00A63606"/>
    <w:rsid w:val="00A64AD2"/>
    <w:rsid w:val="00A64D76"/>
    <w:rsid w:val="00A650B3"/>
    <w:rsid w:val="00A6573B"/>
    <w:rsid w:val="00A65B9D"/>
    <w:rsid w:val="00A66062"/>
    <w:rsid w:val="00A66317"/>
    <w:rsid w:val="00A66328"/>
    <w:rsid w:val="00A66E9E"/>
    <w:rsid w:val="00A675E8"/>
    <w:rsid w:val="00A70AB3"/>
    <w:rsid w:val="00A710F1"/>
    <w:rsid w:val="00A71D3F"/>
    <w:rsid w:val="00A71FF1"/>
    <w:rsid w:val="00A720CC"/>
    <w:rsid w:val="00A7213D"/>
    <w:rsid w:val="00A76386"/>
    <w:rsid w:val="00A76AA3"/>
    <w:rsid w:val="00A77016"/>
    <w:rsid w:val="00A77136"/>
    <w:rsid w:val="00A7781C"/>
    <w:rsid w:val="00A8286E"/>
    <w:rsid w:val="00A8493F"/>
    <w:rsid w:val="00A84F3D"/>
    <w:rsid w:val="00A86DA7"/>
    <w:rsid w:val="00A90AD0"/>
    <w:rsid w:val="00A91DC0"/>
    <w:rsid w:val="00A91E49"/>
    <w:rsid w:val="00A9205A"/>
    <w:rsid w:val="00A9224B"/>
    <w:rsid w:val="00A94D68"/>
    <w:rsid w:val="00A953B4"/>
    <w:rsid w:val="00A9781D"/>
    <w:rsid w:val="00AA0FE4"/>
    <w:rsid w:val="00AA10CE"/>
    <w:rsid w:val="00AA2A57"/>
    <w:rsid w:val="00AA2C9B"/>
    <w:rsid w:val="00AA2ECD"/>
    <w:rsid w:val="00AA5738"/>
    <w:rsid w:val="00AA5FE0"/>
    <w:rsid w:val="00AA6191"/>
    <w:rsid w:val="00AA65EF"/>
    <w:rsid w:val="00AA787F"/>
    <w:rsid w:val="00AB07C4"/>
    <w:rsid w:val="00AB0FB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5A81"/>
    <w:rsid w:val="00AC5D57"/>
    <w:rsid w:val="00AC71A6"/>
    <w:rsid w:val="00AC7B27"/>
    <w:rsid w:val="00AD02EC"/>
    <w:rsid w:val="00AD05A6"/>
    <w:rsid w:val="00AD1DCB"/>
    <w:rsid w:val="00AD3292"/>
    <w:rsid w:val="00AD388F"/>
    <w:rsid w:val="00AD436F"/>
    <w:rsid w:val="00AD503E"/>
    <w:rsid w:val="00AD58CE"/>
    <w:rsid w:val="00AD5989"/>
    <w:rsid w:val="00AD7473"/>
    <w:rsid w:val="00AE0854"/>
    <w:rsid w:val="00AE0F77"/>
    <w:rsid w:val="00AE1EFF"/>
    <w:rsid w:val="00AE2657"/>
    <w:rsid w:val="00AE2D5E"/>
    <w:rsid w:val="00AE4C5E"/>
    <w:rsid w:val="00AE52B8"/>
    <w:rsid w:val="00AE53E8"/>
    <w:rsid w:val="00AE547C"/>
    <w:rsid w:val="00AE5BA2"/>
    <w:rsid w:val="00AE62B4"/>
    <w:rsid w:val="00AE643F"/>
    <w:rsid w:val="00AE7805"/>
    <w:rsid w:val="00AE7BCB"/>
    <w:rsid w:val="00AE7C72"/>
    <w:rsid w:val="00AF0726"/>
    <w:rsid w:val="00AF0E11"/>
    <w:rsid w:val="00AF1125"/>
    <w:rsid w:val="00AF214C"/>
    <w:rsid w:val="00AF24B2"/>
    <w:rsid w:val="00AF3254"/>
    <w:rsid w:val="00AF4E13"/>
    <w:rsid w:val="00AF529C"/>
    <w:rsid w:val="00AF5345"/>
    <w:rsid w:val="00AF5B03"/>
    <w:rsid w:val="00AF5EB2"/>
    <w:rsid w:val="00AF60B7"/>
    <w:rsid w:val="00AF6AD7"/>
    <w:rsid w:val="00AF751E"/>
    <w:rsid w:val="00AF7F4A"/>
    <w:rsid w:val="00B00626"/>
    <w:rsid w:val="00B00632"/>
    <w:rsid w:val="00B01528"/>
    <w:rsid w:val="00B01A0B"/>
    <w:rsid w:val="00B03791"/>
    <w:rsid w:val="00B039E4"/>
    <w:rsid w:val="00B03D33"/>
    <w:rsid w:val="00B03F2D"/>
    <w:rsid w:val="00B040C8"/>
    <w:rsid w:val="00B0424C"/>
    <w:rsid w:val="00B047F1"/>
    <w:rsid w:val="00B051CC"/>
    <w:rsid w:val="00B05237"/>
    <w:rsid w:val="00B0532A"/>
    <w:rsid w:val="00B05878"/>
    <w:rsid w:val="00B05C54"/>
    <w:rsid w:val="00B129B5"/>
    <w:rsid w:val="00B173DF"/>
    <w:rsid w:val="00B17B31"/>
    <w:rsid w:val="00B17CC3"/>
    <w:rsid w:val="00B17FF8"/>
    <w:rsid w:val="00B20DA5"/>
    <w:rsid w:val="00B21DAE"/>
    <w:rsid w:val="00B22D3D"/>
    <w:rsid w:val="00B235F7"/>
    <w:rsid w:val="00B242B8"/>
    <w:rsid w:val="00B24831"/>
    <w:rsid w:val="00B254B3"/>
    <w:rsid w:val="00B254D8"/>
    <w:rsid w:val="00B265A5"/>
    <w:rsid w:val="00B30006"/>
    <w:rsid w:val="00B30840"/>
    <w:rsid w:val="00B30A72"/>
    <w:rsid w:val="00B30CF7"/>
    <w:rsid w:val="00B30F3E"/>
    <w:rsid w:val="00B3280B"/>
    <w:rsid w:val="00B3318C"/>
    <w:rsid w:val="00B34570"/>
    <w:rsid w:val="00B34708"/>
    <w:rsid w:val="00B34F7E"/>
    <w:rsid w:val="00B35085"/>
    <w:rsid w:val="00B365C9"/>
    <w:rsid w:val="00B37346"/>
    <w:rsid w:val="00B3783E"/>
    <w:rsid w:val="00B37E98"/>
    <w:rsid w:val="00B406F1"/>
    <w:rsid w:val="00B41CF1"/>
    <w:rsid w:val="00B425EA"/>
    <w:rsid w:val="00B43BAA"/>
    <w:rsid w:val="00B44A32"/>
    <w:rsid w:val="00B457AA"/>
    <w:rsid w:val="00B45C22"/>
    <w:rsid w:val="00B46F5D"/>
    <w:rsid w:val="00B5035C"/>
    <w:rsid w:val="00B51012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2F8B"/>
    <w:rsid w:val="00B63DCC"/>
    <w:rsid w:val="00B63F07"/>
    <w:rsid w:val="00B64FD7"/>
    <w:rsid w:val="00B6546E"/>
    <w:rsid w:val="00B65FD9"/>
    <w:rsid w:val="00B6616E"/>
    <w:rsid w:val="00B6634F"/>
    <w:rsid w:val="00B67FDC"/>
    <w:rsid w:val="00B708CF"/>
    <w:rsid w:val="00B71697"/>
    <w:rsid w:val="00B71781"/>
    <w:rsid w:val="00B71D07"/>
    <w:rsid w:val="00B7222E"/>
    <w:rsid w:val="00B73196"/>
    <w:rsid w:val="00B7336C"/>
    <w:rsid w:val="00B7548C"/>
    <w:rsid w:val="00B76C6A"/>
    <w:rsid w:val="00B76CDD"/>
    <w:rsid w:val="00B7748F"/>
    <w:rsid w:val="00B77794"/>
    <w:rsid w:val="00B80677"/>
    <w:rsid w:val="00B81482"/>
    <w:rsid w:val="00B81FBF"/>
    <w:rsid w:val="00B82437"/>
    <w:rsid w:val="00B829A8"/>
    <w:rsid w:val="00B829B3"/>
    <w:rsid w:val="00B83749"/>
    <w:rsid w:val="00B860BD"/>
    <w:rsid w:val="00B860F7"/>
    <w:rsid w:val="00B86579"/>
    <w:rsid w:val="00B873C9"/>
    <w:rsid w:val="00B87617"/>
    <w:rsid w:val="00B912EC"/>
    <w:rsid w:val="00B9203C"/>
    <w:rsid w:val="00B92684"/>
    <w:rsid w:val="00B93167"/>
    <w:rsid w:val="00B9456E"/>
    <w:rsid w:val="00B95065"/>
    <w:rsid w:val="00B957B7"/>
    <w:rsid w:val="00B96028"/>
    <w:rsid w:val="00B96704"/>
    <w:rsid w:val="00B96CEA"/>
    <w:rsid w:val="00B96E93"/>
    <w:rsid w:val="00B971AE"/>
    <w:rsid w:val="00B97AE8"/>
    <w:rsid w:val="00BA2289"/>
    <w:rsid w:val="00BA3745"/>
    <w:rsid w:val="00BA51CE"/>
    <w:rsid w:val="00BA6970"/>
    <w:rsid w:val="00BA783E"/>
    <w:rsid w:val="00BA7D9E"/>
    <w:rsid w:val="00BB01C4"/>
    <w:rsid w:val="00BB1DDF"/>
    <w:rsid w:val="00BB1F05"/>
    <w:rsid w:val="00BB211A"/>
    <w:rsid w:val="00BB4665"/>
    <w:rsid w:val="00BB473F"/>
    <w:rsid w:val="00BB48DA"/>
    <w:rsid w:val="00BB4A4E"/>
    <w:rsid w:val="00BC0DB9"/>
    <w:rsid w:val="00BC1CC8"/>
    <w:rsid w:val="00BC2D7C"/>
    <w:rsid w:val="00BC4E2B"/>
    <w:rsid w:val="00BC5B5E"/>
    <w:rsid w:val="00BC5E6B"/>
    <w:rsid w:val="00BC6124"/>
    <w:rsid w:val="00BC76D0"/>
    <w:rsid w:val="00BC7D03"/>
    <w:rsid w:val="00BD2C2E"/>
    <w:rsid w:val="00BD3529"/>
    <w:rsid w:val="00BD35F9"/>
    <w:rsid w:val="00BD6FBD"/>
    <w:rsid w:val="00BD7B74"/>
    <w:rsid w:val="00BE0E8D"/>
    <w:rsid w:val="00BE134F"/>
    <w:rsid w:val="00BE3538"/>
    <w:rsid w:val="00BE48DF"/>
    <w:rsid w:val="00BE4EA8"/>
    <w:rsid w:val="00BE56ED"/>
    <w:rsid w:val="00BE67E4"/>
    <w:rsid w:val="00BE77A5"/>
    <w:rsid w:val="00BF10F5"/>
    <w:rsid w:val="00BF158F"/>
    <w:rsid w:val="00BF1A77"/>
    <w:rsid w:val="00BF1A98"/>
    <w:rsid w:val="00BF2576"/>
    <w:rsid w:val="00BF3361"/>
    <w:rsid w:val="00BF34BB"/>
    <w:rsid w:val="00BF3F2C"/>
    <w:rsid w:val="00BF4EE7"/>
    <w:rsid w:val="00BF5106"/>
    <w:rsid w:val="00BF5720"/>
    <w:rsid w:val="00BF583E"/>
    <w:rsid w:val="00BF5D19"/>
    <w:rsid w:val="00BF5DF9"/>
    <w:rsid w:val="00BF6668"/>
    <w:rsid w:val="00BF7031"/>
    <w:rsid w:val="00C00153"/>
    <w:rsid w:val="00C00321"/>
    <w:rsid w:val="00C0043D"/>
    <w:rsid w:val="00C00FCD"/>
    <w:rsid w:val="00C013C1"/>
    <w:rsid w:val="00C023AC"/>
    <w:rsid w:val="00C024B1"/>
    <w:rsid w:val="00C032E9"/>
    <w:rsid w:val="00C033A9"/>
    <w:rsid w:val="00C03529"/>
    <w:rsid w:val="00C03950"/>
    <w:rsid w:val="00C04C39"/>
    <w:rsid w:val="00C04E50"/>
    <w:rsid w:val="00C05173"/>
    <w:rsid w:val="00C053AA"/>
    <w:rsid w:val="00C05572"/>
    <w:rsid w:val="00C055DB"/>
    <w:rsid w:val="00C06758"/>
    <w:rsid w:val="00C074DA"/>
    <w:rsid w:val="00C10CA2"/>
    <w:rsid w:val="00C10E6A"/>
    <w:rsid w:val="00C1154C"/>
    <w:rsid w:val="00C11CA8"/>
    <w:rsid w:val="00C1279D"/>
    <w:rsid w:val="00C12E59"/>
    <w:rsid w:val="00C14274"/>
    <w:rsid w:val="00C16581"/>
    <w:rsid w:val="00C172C4"/>
    <w:rsid w:val="00C17B97"/>
    <w:rsid w:val="00C200B3"/>
    <w:rsid w:val="00C20338"/>
    <w:rsid w:val="00C207C9"/>
    <w:rsid w:val="00C2114D"/>
    <w:rsid w:val="00C214E5"/>
    <w:rsid w:val="00C21884"/>
    <w:rsid w:val="00C2487C"/>
    <w:rsid w:val="00C24B34"/>
    <w:rsid w:val="00C24F8E"/>
    <w:rsid w:val="00C26F79"/>
    <w:rsid w:val="00C27666"/>
    <w:rsid w:val="00C276B1"/>
    <w:rsid w:val="00C308AD"/>
    <w:rsid w:val="00C31091"/>
    <w:rsid w:val="00C31C0D"/>
    <w:rsid w:val="00C32280"/>
    <w:rsid w:val="00C33673"/>
    <w:rsid w:val="00C342E0"/>
    <w:rsid w:val="00C343BD"/>
    <w:rsid w:val="00C3561A"/>
    <w:rsid w:val="00C36730"/>
    <w:rsid w:val="00C36B4C"/>
    <w:rsid w:val="00C3716E"/>
    <w:rsid w:val="00C374D4"/>
    <w:rsid w:val="00C37A43"/>
    <w:rsid w:val="00C4141D"/>
    <w:rsid w:val="00C4243B"/>
    <w:rsid w:val="00C43DAF"/>
    <w:rsid w:val="00C44CBA"/>
    <w:rsid w:val="00C45AAA"/>
    <w:rsid w:val="00C46721"/>
    <w:rsid w:val="00C46EC8"/>
    <w:rsid w:val="00C470B7"/>
    <w:rsid w:val="00C47E65"/>
    <w:rsid w:val="00C50096"/>
    <w:rsid w:val="00C514DF"/>
    <w:rsid w:val="00C52FF7"/>
    <w:rsid w:val="00C536FD"/>
    <w:rsid w:val="00C53F11"/>
    <w:rsid w:val="00C546FF"/>
    <w:rsid w:val="00C54A1E"/>
    <w:rsid w:val="00C54B84"/>
    <w:rsid w:val="00C54C86"/>
    <w:rsid w:val="00C55185"/>
    <w:rsid w:val="00C56178"/>
    <w:rsid w:val="00C56318"/>
    <w:rsid w:val="00C56687"/>
    <w:rsid w:val="00C56F97"/>
    <w:rsid w:val="00C571FB"/>
    <w:rsid w:val="00C577A9"/>
    <w:rsid w:val="00C60652"/>
    <w:rsid w:val="00C60D99"/>
    <w:rsid w:val="00C62779"/>
    <w:rsid w:val="00C64D21"/>
    <w:rsid w:val="00C66551"/>
    <w:rsid w:val="00C667B2"/>
    <w:rsid w:val="00C674B4"/>
    <w:rsid w:val="00C6787B"/>
    <w:rsid w:val="00C678B1"/>
    <w:rsid w:val="00C717FC"/>
    <w:rsid w:val="00C719D2"/>
    <w:rsid w:val="00C72455"/>
    <w:rsid w:val="00C73546"/>
    <w:rsid w:val="00C74392"/>
    <w:rsid w:val="00C74422"/>
    <w:rsid w:val="00C7490A"/>
    <w:rsid w:val="00C74C93"/>
    <w:rsid w:val="00C75948"/>
    <w:rsid w:val="00C76D3F"/>
    <w:rsid w:val="00C77D0F"/>
    <w:rsid w:val="00C80B09"/>
    <w:rsid w:val="00C80BD3"/>
    <w:rsid w:val="00C8171E"/>
    <w:rsid w:val="00C83061"/>
    <w:rsid w:val="00C8337E"/>
    <w:rsid w:val="00C83CDE"/>
    <w:rsid w:val="00C85EEF"/>
    <w:rsid w:val="00C85FD8"/>
    <w:rsid w:val="00C8624C"/>
    <w:rsid w:val="00C8715C"/>
    <w:rsid w:val="00C928B6"/>
    <w:rsid w:val="00C92B2B"/>
    <w:rsid w:val="00C93F32"/>
    <w:rsid w:val="00C94428"/>
    <w:rsid w:val="00C94775"/>
    <w:rsid w:val="00C947A9"/>
    <w:rsid w:val="00C949D0"/>
    <w:rsid w:val="00C94D3F"/>
    <w:rsid w:val="00C95D73"/>
    <w:rsid w:val="00C96A92"/>
    <w:rsid w:val="00C972C8"/>
    <w:rsid w:val="00C97A89"/>
    <w:rsid w:val="00CA04B4"/>
    <w:rsid w:val="00CA0858"/>
    <w:rsid w:val="00CA2014"/>
    <w:rsid w:val="00CA2735"/>
    <w:rsid w:val="00CA41E6"/>
    <w:rsid w:val="00CA492E"/>
    <w:rsid w:val="00CA4C09"/>
    <w:rsid w:val="00CA4FA9"/>
    <w:rsid w:val="00CA5DBC"/>
    <w:rsid w:val="00CA61C6"/>
    <w:rsid w:val="00CA664F"/>
    <w:rsid w:val="00CA6716"/>
    <w:rsid w:val="00CA6DEF"/>
    <w:rsid w:val="00CA6FAC"/>
    <w:rsid w:val="00CA74CA"/>
    <w:rsid w:val="00CB0908"/>
    <w:rsid w:val="00CB09A1"/>
    <w:rsid w:val="00CB0E59"/>
    <w:rsid w:val="00CB146D"/>
    <w:rsid w:val="00CB1F57"/>
    <w:rsid w:val="00CB2567"/>
    <w:rsid w:val="00CB3138"/>
    <w:rsid w:val="00CB37BC"/>
    <w:rsid w:val="00CB3F35"/>
    <w:rsid w:val="00CB4D1B"/>
    <w:rsid w:val="00CB5505"/>
    <w:rsid w:val="00CB79A7"/>
    <w:rsid w:val="00CB7F8C"/>
    <w:rsid w:val="00CC1780"/>
    <w:rsid w:val="00CC31CD"/>
    <w:rsid w:val="00CC31F4"/>
    <w:rsid w:val="00CC3536"/>
    <w:rsid w:val="00CC37C1"/>
    <w:rsid w:val="00CC4A07"/>
    <w:rsid w:val="00CC4E9E"/>
    <w:rsid w:val="00CC4F1D"/>
    <w:rsid w:val="00CC6E1E"/>
    <w:rsid w:val="00CC7338"/>
    <w:rsid w:val="00CC7BDF"/>
    <w:rsid w:val="00CD15A8"/>
    <w:rsid w:val="00CD1A5F"/>
    <w:rsid w:val="00CD2317"/>
    <w:rsid w:val="00CD2B0E"/>
    <w:rsid w:val="00CD332E"/>
    <w:rsid w:val="00CD3D6F"/>
    <w:rsid w:val="00CD413B"/>
    <w:rsid w:val="00CD4895"/>
    <w:rsid w:val="00CD671E"/>
    <w:rsid w:val="00CD683F"/>
    <w:rsid w:val="00CD6B90"/>
    <w:rsid w:val="00CD6DFA"/>
    <w:rsid w:val="00CD782D"/>
    <w:rsid w:val="00CD7ACC"/>
    <w:rsid w:val="00CE1760"/>
    <w:rsid w:val="00CE1E5E"/>
    <w:rsid w:val="00CE202C"/>
    <w:rsid w:val="00CE35C1"/>
    <w:rsid w:val="00CE5CEA"/>
    <w:rsid w:val="00CE6691"/>
    <w:rsid w:val="00CE688C"/>
    <w:rsid w:val="00CE6911"/>
    <w:rsid w:val="00CE71E5"/>
    <w:rsid w:val="00CF01F7"/>
    <w:rsid w:val="00CF0F26"/>
    <w:rsid w:val="00CF17C0"/>
    <w:rsid w:val="00CF1C62"/>
    <w:rsid w:val="00CF2659"/>
    <w:rsid w:val="00CF3581"/>
    <w:rsid w:val="00CF3E49"/>
    <w:rsid w:val="00CF4519"/>
    <w:rsid w:val="00CF540D"/>
    <w:rsid w:val="00CF559C"/>
    <w:rsid w:val="00CF661C"/>
    <w:rsid w:val="00CF6E6C"/>
    <w:rsid w:val="00CF7404"/>
    <w:rsid w:val="00CF77DC"/>
    <w:rsid w:val="00CF7D0F"/>
    <w:rsid w:val="00D0086F"/>
    <w:rsid w:val="00D01661"/>
    <w:rsid w:val="00D01B22"/>
    <w:rsid w:val="00D02682"/>
    <w:rsid w:val="00D03794"/>
    <w:rsid w:val="00D03E15"/>
    <w:rsid w:val="00D04C48"/>
    <w:rsid w:val="00D05C60"/>
    <w:rsid w:val="00D069EF"/>
    <w:rsid w:val="00D06F63"/>
    <w:rsid w:val="00D07B4A"/>
    <w:rsid w:val="00D07DF0"/>
    <w:rsid w:val="00D13147"/>
    <w:rsid w:val="00D14046"/>
    <w:rsid w:val="00D14818"/>
    <w:rsid w:val="00D15111"/>
    <w:rsid w:val="00D15DD3"/>
    <w:rsid w:val="00D167ED"/>
    <w:rsid w:val="00D16D7B"/>
    <w:rsid w:val="00D1753F"/>
    <w:rsid w:val="00D20341"/>
    <w:rsid w:val="00D204CD"/>
    <w:rsid w:val="00D2134B"/>
    <w:rsid w:val="00D21751"/>
    <w:rsid w:val="00D21F6E"/>
    <w:rsid w:val="00D22CFE"/>
    <w:rsid w:val="00D23A72"/>
    <w:rsid w:val="00D23AB2"/>
    <w:rsid w:val="00D23E01"/>
    <w:rsid w:val="00D25135"/>
    <w:rsid w:val="00D258D8"/>
    <w:rsid w:val="00D26331"/>
    <w:rsid w:val="00D26484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22B5"/>
    <w:rsid w:val="00D42832"/>
    <w:rsid w:val="00D43662"/>
    <w:rsid w:val="00D45208"/>
    <w:rsid w:val="00D45568"/>
    <w:rsid w:val="00D51C6E"/>
    <w:rsid w:val="00D51D87"/>
    <w:rsid w:val="00D52DAF"/>
    <w:rsid w:val="00D5306E"/>
    <w:rsid w:val="00D53CE2"/>
    <w:rsid w:val="00D543F3"/>
    <w:rsid w:val="00D5564A"/>
    <w:rsid w:val="00D609E5"/>
    <w:rsid w:val="00D624DA"/>
    <w:rsid w:val="00D636FC"/>
    <w:rsid w:val="00D651BC"/>
    <w:rsid w:val="00D66971"/>
    <w:rsid w:val="00D6718C"/>
    <w:rsid w:val="00D67E83"/>
    <w:rsid w:val="00D704D6"/>
    <w:rsid w:val="00D708A9"/>
    <w:rsid w:val="00D708B7"/>
    <w:rsid w:val="00D71896"/>
    <w:rsid w:val="00D748E1"/>
    <w:rsid w:val="00D74DBB"/>
    <w:rsid w:val="00D755A7"/>
    <w:rsid w:val="00D75ECC"/>
    <w:rsid w:val="00D77B37"/>
    <w:rsid w:val="00D80173"/>
    <w:rsid w:val="00D80B32"/>
    <w:rsid w:val="00D81357"/>
    <w:rsid w:val="00D81BE4"/>
    <w:rsid w:val="00D81D4D"/>
    <w:rsid w:val="00D823A9"/>
    <w:rsid w:val="00D8304C"/>
    <w:rsid w:val="00D83E51"/>
    <w:rsid w:val="00D83FB6"/>
    <w:rsid w:val="00D84CF8"/>
    <w:rsid w:val="00D85D3C"/>
    <w:rsid w:val="00D864D9"/>
    <w:rsid w:val="00D90217"/>
    <w:rsid w:val="00D9048E"/>
    <w:rsid w:val="00D91F7D"/>
    <w:rsid w:val="00D92A5F"/>
    <w:rsid w:val="00D92ED6"/>
    <w:rsid w:val="00D931DB"/>
    <w:rsid w:val="00D95224"/>
    <w:rsid w:val="00D95989"/>
    <w:rsid w:val="00D96184"/>
    <w:rsid w:val="00D96C89"/>
    <w:rsid w:val="00D97320"/>
    <w:rsid w:val="00DA1D51"/>
    <w:rsid w:val="00DA26D7"/>
    <w:rsid w:val="00DA50AA"/>
    <w:rsid w:val="00DA52E8"/>
    <w:rsid w:val="00DA6836"/>
    <w:rsid w:val="00DA6C57"/>
    <w:rsid w:val="00DB39AB"/>
    <w:rsid w:val="00DB4817"/>
    <w:rsid w:val="00DB4CF9"/>
    <w:rsid w:val="00DB5B78"/>
    <w:rsid w:val="00DB5F51"/>
    <w:rsid w:val="00DB627A"/>
    <w:rsid w:val="00DB68FC"/>
    <w:rsid w:val="00DB6E0F"/>
    <w:rsid w:val="00DB77F0"/>
    <w:rsid w:val="00DC2A0C"/>
    <w:rsid w:val="00DC3260"/>
    <w:rsid w:val="00DC54A4"/>
    <w:rsid w:val="00DC77F8"/>
    <w:rsid w:val="00DC7DAF"/>
    <w:rsid w:val="00DD2C65"/>
    <w:rsid w:val="00DD3A76"/>
    <w:rsid w:val="00DD491D"/>
    <w:rsid w:val="00DD593A"/>
    <w:rsid w:val="00DD7BB6"/>
    <w:rsid w:val="00DD7E1C"/>
    <w:rsid w:val="00DE1923"/>
    <w:rsid w:val="00DE1FE9"/>
    <w:rsid w:val="00DE23F2"/>
    <w:rsid w:val="00DE32A7"/>
    <w:rsid w:val="00DE3558"/>
    <w:rsid w:val="00DE38A1"/>
    <w:rsid w:val="00DE3A3F"/>
    <w:rsid w:val="00DE406F"/>
    <w:rsid w:val="00DE4521"/>
    <w:rsid w:val="00DE4B32"/>
    <w:rsid w:val="00DE4ED2"/>
    <w:rsid w:val="00DE5012"/>
    <w:rsid w:val="00DE591C"/>
    <w:rsid w:val="00DE65E0"/>
    <w:rsid w:val="00DE6612"/>
    <w:rsid w:val="00DE68E0"/>
    <w:rsid w:val="00DE6AEA"/>
    <w:rsid w:val="00DF20F8"/>
    <w:rsid w:val="00DF274C"/>
    <w:rsid w:val="00DF2811"/>
    <w:rsid w:val="00DF2AF5"/>
    <w:rsid w:val="00DF2C8F"/>
    <w:rsid w:val="00DF3C21"/>
    <w:rsid w:val="00DF42DB"/>
    <w:rsid w:val="00DF6487"/>
    <w:rsid w:val="00DF6901"/>
    <w:rsid w:val="00DF759B"/>
    <w:rsid w:val="00DF78AE"/>
    <w:rsid w:val="00E0010B"/>
    <w:rsid w:val="00E00E5A"/>
    <w:rsid w:val="00E0144B"/>
    <w:rsid w:val="00E01976"/>
    <w:rsid w:val="00E0203D"/>
    <w:rsid w:val="00E02377"/>
    <w:rsid w:val="00E02658"/>
    <w:rsid w:val="00E03AF1"/>
    <w:rsid w:val="00E03F63"/>
    <w:rsid w:val="00E04BEC"/>
    <w:rsid w:val="00E06001"/>
    <w:rsid w:val="00E0736A"/>
    <w:rsid w:val="00E07E4C"/>
    <w:rsid w:val="00E102BB"/>
    <w:rsid w:val="00E10349"/>
    <w:rsid w:val="00E10E15"/>
    <w:rsid w:val="00E116BB"/>
    <w:rsid w:val="00E118ED"/>
    <w:rsid w:val="00E11BAC"/>
    <w:rsid w:val="00E11BDB"/>
    <w:rsid w:val="00E126E0"/>
    <w:rsid w:val="00E13114"/>
    <w:rsid w:val="00E1351B"/>
    <w:rsid w:val="00E13656"/>
    <w:rsid w:val="00E152A4"/>
    <w:rsid w:val="00E1642A"/>
    <w:rsid w:val="00E1655E"/>
    <w:rsid w:val="00E17D68"/>
    <w:rsid w:val="00E20BD3"/>
    <w:rsid w:val="00E21CDF"/>
    <w:rsid w:val="00E21DED"/>
    <w:rsid w:val="00E22F11"/>
    <w:rsid w:val="00E2554C"/>
    <w:rsid w:val="00E25D31"/>
    <w:rsid w:val="00E25FA6"/>
    <w:rsid w:val="00E26128"/>
    <w:rsid w:val="00E263F2"/>
    <w:rsid w:val="00E27E4C"/>
    <w:rsid w:val="00E301EE"/>
    <w:rsid w:val="00E30818"/>
    <w:rsid w:val="00E30BEB"/>
    <w:rsid w:val="00E30C69"/>
    <w:rsid w:val="00E30E54"/>
    <w:rsid w:val="00E31542"/>
    <w:rsid w:val="00E318B5"/>
    <w:rsid w:val="00E3193A"/>
    <w:rsid w:val="00E32472"/>
    <w:rsid w:val="00E32E47"/>
    <w:rsid w:val="00E33DBD"/>
    <w:rsid w:val="00E34AAD"/>
    <w:rsid w:val="00E34C91"/>
    <w:rsid w:val="00E356CB"/>
    <w:rsid w:val="00E364D8"/>
    <w:rsid w:val="00E366DA"/>
    <w:rsid w:val="00E36BE2"/>
    <w:rsid w:val="00E36CCB"/>
    <w:rsid w:val="00E3755B"/>
    <w:rsid w:val="00E37CC9"/>
    <w:rsid w:val="00E40A03"/>
    <w:rsid w:val="00E42270"/>
    <w:rsid w:val="00E43930"/>
    <w:rsid w:val="00E44E3C"/>
    <w:rsid w:val="00E45B72"/>
    <w:rsid w:val="00E45CD7"/>
    <w:rsid w:val="00E46DBD"/>
    <w:rsid w:val="00E4759B"/>
    <w:rsid w:val="00E47B17"/>
    <w:rsid w:val="00E5079A"/>
    <w:rsid w:val="00E50B8E"/>
    <w:rsid w:val="00E50FBC"/>
    <w:rsid w:val="00E5160A"/>
    <w:rsid w:val="00E517EF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1CD"/>
    <w:rsid w:val="00E63263"/>
    <w:rsid w:val="00E63E75"/>
    <w:rsid w:val="00E63FD5"/>
    <w:rsid w:val="00E6515F"/>
    <w:rsid w:val="00E657D9"/>
    <w:rsid w:val="00E65AAE"/>
    <w:rsid w:val="00E65BF2"/>
    <w:rsid w:val="00E65CDD"/>
    <w:rsid w:val="00E6611C"/>
    <w:rsid w:val="00E669A9"/>
    <w:rsid w:val="00E672C7"/>
    <w:rsid w:val="00E674FB"/>
    <w:rsid w:val="00E676FF"/>
    <w:rsid w:val="00E70586"/>
    <w:rsid w:val="00E70A43"/>
    <w:rsid w:val="00E70AEE"/>
    <w:rsid w:val="00E73406"/>
    <w:rsid w:val="00E74B8C"/>
    <w:rsid w:val="00E74D0C"/>
    <w:rsid w:val="00E74DD3"/>
    <w:rsid w:val="00E75B91"/>
    <w:rsid w:val="00E7625C"/>
    <w:rsid w:val="00E76BC5"/>
    <w:rsid w:val="00E770FC"/>
    <w:rsid w:val="00E7781F"/>
    <w:rsid w:val="00E77FF7"/>
    <w:rsid w:val="00E810FE"/>
    <w:rsid w:val="00E824FD"/>
    <w:rsid w:val="00E83879"/>
    <w:rsid w:val="00E851CE"/>
    <w:rsid w:val="00E8596C"/>
    <w:rsid w:val="00E8644B"/>
    <w:rsid w:val="00E864A9"/>
    <w:rsid w:val="00E865C0"/>
    <w:rsid w:val="00E86BFD"/>
    <w:rsid w:val="00E86CB1"/>
    <w:rsid w:val="00E87656"/>
    <w:rsid w:val="00E87B01"/>
    <w:rsid w:val="00E87D67"/>
    <w:rsid w:val="00E900AF"/>
    <w:rsid w:val="00E9176C"/>
    <w:rsid w:val="00E91CC1"/>
    <w:rsid w:val="00E91F29"/>
    <w:rsid w:val="00E922E2"/>
    <w:rsid w:val="00E930DD"/>
    <w:rsid w:val="00E93FCD"/>
    <w:rsid w:val="00E94FC2"/>
    <w:rsid w:val="00E95C92"/>
    <w:rsid w:val="00E95E66"/>
    <w:rsid w:val="00E96477"/>
    <w:rsid w:val="00E97CC8"/>
    <w:rsid w:val="00EA0984"/>
    <w:rsid w:val="00EA2B6D"/>
    <w:rsid w:val="00EA3C71"/>
    <w:rsid w:val="00EA5051"/>
    <w:rsid w:val="00EA50DE"/>
    <w:rsid w:val="00EA5A8D"/>
    <w:rsid w:val="00EA5DD7"/>
    <w:rsid w:val="00EA61A2"/>
    <w:rsid w:val="00EA689F"/>
    <w:rsid w:val="00EA690D"/>
    <w:rsid w:val="00EA6FC9"/>
    <w:rsid w:val="00EA74AD"/>
    <w:rsid w:val="00EB0134"/>
    <w:rsid w:val="00EB050A"/>
    <w:rsid w:val="00EB116F"/>
    <w:rsid w:val="00EB14C9"/>
    <w:rsid w:val="00EB1B36"/>
    <w:rsid w:val="00EB1CAB"/>
    <w:rsid w:val="00EB1D29"/>
    <w:rsid w:val="00EB20D1"/>
    <w:rsid w:val="00EB22BF"/>
    <w:rsid w:val="00EB2C5F"/>
    <w:rsid w:val="00EB2CB1"/>
    <w:rsid w:val="00EB33E2"/>
    <w:rsid w:val="00EB403E"/>
    <w:rsid w:val="00EB5AFB"/>
    <w:rsid w:val="00EB7531"/>
    <w:rsid w:val="00EB7589"/>
    <w:rsid w:val="00EC0D2E"/>
    <w:rsid w:val="00EC1E91"/>
    <w:rsid w:val="00EC327F"/>
    <w:rsid w:val="00EC38DB"/>
    <w:rsid w:val="00EC3A18"/>
    <w:rsid w:val="00EC3DF3"/>
    <w:rsid w:val="00EC520A"/>
    <w:rsid w:val="00EC5217"/>
    <w:rsid w:val="00EC55CB"/>
    <w:rsid w:val="00EC5735"/>
    <w:rsid w:val="00EC5C09"/>
    <w:rsid w:val="00EC7A99"/>
    <w:rsid w:val="00ED073D"/>
    <w:rsid w:val="00ED0CFD"/>
    <w:rsid w:val="00ED0ED7"/>
    <w:rsid w:val="00ED12E2"/>
    <w:rsid w:val="00ED1700"/>
    <w:rsid w:val="00ED1E4A"/>
    <w:rsid w:val="00ED1E58"/>
    <w:rsid w:val="00ED26C2"/>
    <w:rsid w:val="00ED28E0"/>
    <w:rsid w:val="00ED4EE5"/>
    <w:rsid w:val="00ED53B6"/>
    <w:rsid w:val="00ED6B08"/>
    <w:rsid w:val="00ED6E07"/>
    <w:rsid w:val="00ED7EDF"/>
    <w:rsid w:val="00EE0DDE"/>
    <w:rsid w:val="00EE1104"/>
    <w:rsid w:val="00EE1A11"/>
    <w:rsid w:val="00EE298B"/>
    <w:rsid w:val="00EE47A2"/>
    <w:rsid w:val="00EE4FA0"/>
    <w:rsid w:val="00EE622A"/>
    <w:rsid w:val="00EE647C"/>
    <w:rsid w:val="00EE6DB9"/>
    <w:rsid w:val="00EF202E"/>
    <w:rsid w:val="00EF21E1"/>
    <w:rsid w:val="00EF25DD"/>
    <w:rsid w:val="00EF3039"/>
    <w:rsid w:val="00EF3D97"/>
    <w:rsid w:val="00EF462D"/>
    <w:rsid w:val="00EF4908"/>
    <w:rsid w:val="00EF5B96"/>
    <w:rsid w:val="00EF67C4"/>
    <w:rsid w:val="00EF6C78"/>
    <w:rsid w:val="00EF7576"/>
    <w:rsid w:val="00F00618"/>
    <w:rsid w:val="00F00669"/>
    <w:rsid w:val="00F00C15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7A4"/>
    <w:rsid w:val="00F13D85"/>
    <w:rsid w:val="00F15568"/>
    <w:rsid w:val="00F15F6A"/>
    <w:rsid w:val="00F16B41"/>
    <w:rsid w:val="00F16DA2"/>
    <w:rsid w:val="00F171ED"/>
    <w:rsid w:val="00F17700"/>
    <w:rsid w:val="00F20788"/>
    <w:rsid w:val="00F214DB"/>
    <w:rsid w:val="00F218DF"/>
    <w:rsid w:val="00F22502"/>
    <w:rsid w:val="00F230A4"/>
    <w:rsid w:val="00F23466"/>
    <w:rsid w:val="00F24261"/>
    <w:rsid w:val="00F2429D"/>
    <w:rsid w:val="00F24571"/>
    <w:rsid w:val="00F245C8"/>
    <w:rsid w:val="00F24746"/>
    <w:rsid w:val="00F275D7"/>
    <w:rsid w:val="00F276D0"/>
    <w:rsid w:val="00F27B66"/>
    <w:rsid w:val="00F306A2"/>
    <w:rsid w:val="00F31F11"/>
    <w:rsid w:val="00F320EE"/>
    <w:rsid w:val="00F32CFE"/>
    <w:rsid w:val="00F32EF9"/>
    <w:rsid w:val="00F33B5B"/>
    <w:rsid w:val="00F34ACA"/>
    <w:rsid w:val="00F36DEA"/>
    <w:rsid w:val="00F37BF1"/>
    <w:rsid w:val="00F400FA"/>
    <w:rsid w:val="00F4050E"/>
    <w:rsid w:val="00F4071A"/>
    <w:rsid w:val="00F416C6"/>
    <w:rsid w:val="00F4217C"/>
    <w:rsid w:val="00F4406F"/>
    <w:rsid w:val="00F4561D"/>
    <w:rsid w:val="00F46D61"/>
    <w:rsid w:val="00F47111"/>
    <w:rsid w:val="00F47905"/>
    <w:rsid w:val="00F5033A"/>
    <w:rsid w:val="00F5105D"/>
    <w:rsid w:val="00F520A4"/>
    <w:rsid w:val="00F5369C"/>
    <w:rsid w:val="00F557E9"/>
    <w:rsid w:val="00F57772"/>
    <w:rsid w:val="00F57BF9"/>
    <w:rsid w:val="00F57E33"/>
    <w:rsid w:val="00F60B0A"/>
    <w:rsid w:val="00F61E47"/>
    <w:rsid w:val="00F61E7A"/>
    <w:rsid w:val="00F6436F"/>
    <w:rsid w:val="00F6596E"/>
    <w:rsid w:val="00F6679F"/>
    <w:rsid w:val="00F66D15"/>
    <w:rsid w:val="00F67151"/>
    <w:rsid w:val="00F67152"/>
    <w:rsid w:val="00F6780E"/>
    <w:rsid w:val="00F67CAA"/>
    <w:rsid w:val="00F71E30"/>
    <w:rsid w:val="00F71EC0"/>
    <w:rsid w:val="00F72F47"/>
    <w:rsid w:val="00F74A63"/>
    <w:rsid w:val="00F75472"/>
    <w:rsid w:val="00F81CAF"/>
    <w:rsid w:val="00F82346"/>
    <w:rsid w:val="00F82796"/>
    <w:rsid w:val="00F82BB3"/>
    <w:rsid w:val="00F83A61"/>
    <w:rsid w:val="00F86243"/>
    <w:rsid w:val="00F86839"/>
    <w:rsid w:val="00F87369"/>
    <w:rsid w:val="00F8782A"/>
    <w:rsid w:val="00F87942"/>
    <w:rsid w:val="00F87BD2"/>
    <w:rsid w:val="00F87CE2"/>
    <w:rsid w:val="00F90904"/>
    <w:rsid w:val="00F90CCE"/>
    <w:rsid w:val="00F9162E"/>
    <w:rsid w:val="00F92332"/>
    <w:rsid w:val="00F9236A"/>
    <w:rsid w:val="00F929D1"/>
    <w:rsid w:val="00F9424D"/>
    <w:rsid w:val="00F948AD"/>
    <w:rsid w:val="00F9748F"/>
    <w:rsid w:val="00F979A8"/>
    <w:rsid w:val="00F97E31"/>
    <w:rsid w:val="00FA028D"/>
    <w:rsid w:val="00FA0619"/>
    <w:rsid w:val="00FA078D"/>
    <w:rsid w:val="00FA1442"/>
    <w:rsid w:val="00FA1696"/>
    <w:rsid w:val="00FA1D06"/>
    <w:rsid w:val="00FA3783"/>
    <w:rsid w:val="00FA4086"/>
    <w:rsid w:val="00FA68F1"/>
    <w:rsid w:val="00FA6B98"/>
    <w:rsid w:val="00FA6CD2"/>
    <w:rsid w:val="00FB028A"/>
    <w:rsid w:val="00FB18B5"/>
    <w:rsid w:val="00FB1C7E"/>
    <w:rsid w:val="00FB31E1"/>
    <w:rsid w:val="00FB39C8"/>
    <w:rsid w:val="00FB3B24"/>
    <w:rsid w:val="00FB3E48"/>
    <w:rsid w:val="00FB41F7"/>
    <w:rsid w:val="00FB4811"/>
    <w:rsid w:val="00FB4832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2F25"/>
    <w:rsid w:val="00FD45BD"/>
    <w:rsid w:val="00FD47E8"/>
    <w:rsid w:val="00FD4B4C"/>
    <w:rsid w:val="00FD5352"/>
    <w:rsid w:val="00FD5432"/>
    <w:rsid w:val="00FD63E4"/>
    <w:rsid w:val="00FD710E"/>
    <w:rsid w:val="00FE00CB"/>
    <w:rsid w:val="00FE09E6"/>
    <w:rsid w:val="00FE24BA"/>
    <w:rsid w:val="00FE277E"/>
    <w:rsid w:val="00FE2F6C"/>
    <w:rsid w:val="00FE38BE"/>
    <w:rsid w:val="00FE45A3"/>
    <w:rsid w:val="00FE5453"/>
    <w:rsid w:val="00FE5B99"/>
    <w:rsid w:val="00FE60DD"/>
    <w:rsid w:val="00FE63F6"/>
    <w:rsid w:val="00FE7C89"/>
    <w:rsid w:val="00FF4296"/>
    <w:rsid w:val="00FF4DD0"/>
    <w:rsid w:val="00FF5229"/>
    <w:rsid w:val="00FF59C8"/>
    <w:rsid w:val="00FF670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05CF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C44C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B043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16576E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6D0F95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F754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2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42EDF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536B4D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990397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87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rr.salute.gov.it/" TargetMode="External"/><Relationship Id="rId13" Type="http://schemas.openxmlformats.org/officeDocument/2006/relationships/hyperlink" Target="https://www.agenas.gov.it/images/2025/4_feb/Scheda_comunicazione_PNT_04_febbraio_2025.pdf" TargetMode="External"/><Relationship Id="rId18" Type="http://schemas.openxmlformats.org/officeDocument/2006/relationships/hyperlink" Target="https://www.agenas.gov.it/pnrr/missione-6-salute/monitoraggio-adi" TargetMode="External"/><Relationship Id="rId26" Type="http://schemas.openxmlformats.org/officeDocument/2006/relationships/hyperlink" Target="https://www.upbilancio.it/wp-content/uploads/2025/05/Focus-3_2025_PNRR_sanit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genas.gov.it/images/2025/DM_77/Report_nazionale_II_semestre_2024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upbilancio.it/wp-content/uploads/2025/05/Focus-3_2025_PNRR_sanita.pdf" TargetMode="External"/><Relationship Id="rId25" Type="http://schemas.openxmlformats.org/officeDocument/2006/relationships/hyperlink" Target="https://www.upbilancio.it/wp-content/uploads/2025/05/Focus-3_2025_PNRR_sanit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genas.gov.it/images/2025/DM_77/Report_nazionale_II_semestre_2024.pdf" TargetMode="External"/><Relationship Id="rId20" Type="http://schemas.openxmlformats.org/officeDocument/2006/relationships/hyperlink" Target="https://www.upbilancio.it/wp-content/uploads/2025/05/Focus-3_2025_PNRR_sanit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24" Type="http://schemas.openxmlformats.org/officeDocument/2006/relationships/hyperlink" Target="https://monitopen.fse.salute.gov.it/us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itopen.fse.salute.gov.it/usage/" TargetMode="External"/><Relationship Id="rId23" Type="http://schemas.openxmlformats.org/officeDocument/2006/relationships/hyperlink" Target="https://www.corteconti.it/Download?id=dfd5b6c6-8e3d-43b9-8865-4117a015085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nrr.salute.gov.it/it/news-e-media/notizie/pnrr-pagamento-vii-rata-collegato-al-raggiungimento-del-target-comunitario/" TargetMode="External"/><Relationship Id="rId19" Type="http://schemas.openxmlformats.org/officeDocument/2006/relationships/hyperlink" Target="https://www.upbilancio.it/wp-content/uploads/2025/05/Focus-3_2025_PNRR_san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rteconti.it/Download?id=dfd5b6c6-8e3d-43b9-8865-4117a015085e" TargetMode="External"/><Relationship Id="rId14" Type="http://schemas.openxmlformats.org/officeDocument/2006/relationships/hyperlink" Target="https://www.upbilancio.it/wp-content/uploads/2025/05/Focus-3_2025_PNRR_sanita.pdf" TargetMode="External"/><Relationship Id="rId22" Type="http://schemas.openxmlformats.org/officeDocument/2006/relationships/hyperlink" Target="https://www.upbilancio.it/wp-content/uploads/2025/05/Focus-3_2025_PNRR_sanit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7956-A9AE-4A8D-9E5F-C0A0D9D8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6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141</cp:revision>
  <cp:lastPrinted>2024-04-29T14:18:00Z</cp:lastPrinted>
  <dcterms:created xsi:type="dcterms:W3CDTF">2025-07-22T07:24:00Z</dcterms:created>
  <dcterms:modified xsi:type="dcterms:W3CDTF">2025-07-28T13:31:00Z</dcterms:modified>
</cp:coreProperties>
</file>